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15" w:rsidRDefault="0038511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5115" w:rsidRDefault="00385115">
      <w:pPr>
        <w:pStyle w:val="ConsPlusNormal"/>
        <w:jc w:val="both"/>
        <w:outlineLvl w:val="0"/>
      </w:pPr>
    </w:p>
    <w:p w:rsidR="00385115" w:rsidRDefault="0038511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зачете госпошлины за предоставление разрешения на добычу объектов животного мира при отказе в выдаче разрешения и госпошлине при выдаче такого разрешения органом государственной власти своему сотруднику.</w:t>
      </w:r>
    </w:p>
    <w:p w:rsidR="00385115" w:rsidRDefault="00385115">
      <w:pPr>
        <w:pStyle w:val="ConsPlusNormal"/>
        <w:jc w:val="both"/>
      </w:pPr>
    </w:p>
    <w:p w:rsidR="00385115" w:rsidRDefault="00385115">
      <w:pPr>
        <w:pStyle w:val="ConsPlusNormal"/>
        <w:ind w:firstLine="540"/>
        <w:jc w:val="both"/>
      </w:pPr>
      <w:r>
        <w:rPr>
          <w:b/>
        </w:rPr>
        <w:t>Ответ:</w:t>
      </w:r>
    </w:p>
    <w:p w:rsidR="00385115" w:rsidRDefault="00385115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385115" w:rsidRDefault="00385115">
      <w:pPr>
        <w:pStyle w:val="ConsPlusTitle"/>
        <w:jc w:val="center"/>
      </w:pPr>
    </w:p>
    <w:p w:rsidR="00385115" w:rsidRDefault="00385115">
      <w:pPr>
        <w:pStyle w:val="ConsPlusTitle"/>
        <w:jc w:val="center"/>
      </w:pPr>
      <w:r>
        <w:t>ПИСЬМО</w:t>
      </w:r>
    </w:p>
    <w:p w:rsidR="00385115" w:rsidRDefault="00385115">
      <w:pPr>
        <w:pStyle w:val="ConsPlusTitle"/>
        <w:jc w:val="center"/>
      </w:pPr>
      <w:r>
        <w:t>от 21 сентября 2020 г. N 03-05-04-03/82495</w:t>
      </w:r>
    </w:p>
    <w:p w:rsidR="00385115" w:rsidRDefault="00385115">
      <w:pPr>
        <w:pStyle w:val="ConsPlusNormal"/>
        <w:jc w:val="both"/>
      </w:pPr>
    </w:p>
    <w:p w:rsidR="00385115" w:rsidRDefault="00385115">
      <w:pPr>
        <w:pStyle w:val="ConsPlusNormal"/>
        <w:ind w:firstLine="540"/>
        <w:jc w:val="both"/>
      </w:pPr>
      <w:r>
        <w:t>Департамент налоговой политики рассмотрел письмо от 22.07.2020 и сообщает.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>1. По вопросу зачета уплаченной государственной пошлины за предоставление разрешения на добычу объектов животного мира, в случае если заявителю был направлен мотивированный отказ в предоставлении данного разрешения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части 3 статьи 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(далее - Федеральный закон N 209-ФЗ) право на добычу охотничьих ресурсов возникает с момента выдачи разрешения на их добычу, если иное не предусмотрено Федеральным законом N 209-ФЗ.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96 пункта 1 статьи 333.33</w:t>
        </w:r>
      </w:hyperlink>
      <w:r>
        <w:t xml:space="preserve"> Налогового кодекса Российской Федерации (далее - НК РФ) за предоставление разрешения на добычу объектов животного мира уплачивается государственная пошлина в размере 650 рублей.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Порядок возврата или зачета уплаченной суммы государственной пошлины за совершение юридически значимых действий, предусмотренных </w:t>
      </w:r>
      <w:hyperlink r:id="rId7" w:history="1">
        <w:r>
          <w:rPr>
            <w:color w:val="0000FF"/>
          </w:rPr>
          <w:t>главой 25.3</w:t>
        </w:r>
      </w:hyperlink>
      <w:r>
        <w:t xml:space="preserve"> "Государственная пошлина" НК РФ (далее - глава 25.3 НК РФ), в том числе за предоставление разрешения на добычу объектов животного мира, определен </w:t>
      </w:r>
      <w:hyperlink r:id="rId8" w:history="1">
        <w:r>
          <w:rPr>
            <w:color w:val="0000FF"/>
          </w:rPr>
          <w:t>статьей 333.40</w:t>
        </w:r>
      </w:hyperlink>
      <w:r>
        <w:t xml:space="preserve"> НК РФ.</w:t>
      </w:r>
    </w:p>
    <w:p w:rsidR="00385115" w:rsidRDefault="0038511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Пунктом 1 статьи 333.40</w:t>
        </w:r>
      </w:hyperlink>
      <w:r>
        <w:t xml:space="preserve"> НК РФ установлен исчерпывающий перечень оснований, в соответствии с которыми уплаченная государственная пошлина за совершение юридически значимых действий, предусмотренных </w:t>
      </w:r>
      <w:hyperlink r:id="rId10" w:history="1">
        <w:r>
          <w:rPr>
            <w:color w:val="0000FF"/>
          </w:rPr>
          <w:t>главой 25.3</w:t>
        </w:r>
      </w:hyperlink>
      <w:r>
        <w:t xml:space="preserve"> НК РФ, подлежит возврату.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1" w:history="1">
        <w:r>
          <w:rPr>
            <w:color w:val="0000FF"/>
          </w:rPr>
          <w:t>пункта 1 статьи 333.40</w:t>
        </w:r>
      </w:hyperlink>
      <w:r>
        <w:t xml:space="preserve"> НК РФ применительно к возврату государственной пошлины являются специальными, именно их буквальное толкование имеет приоритет перед буквальным толкованием иных норм </w:t>
      </w:r>
      <w:hyperlink r:id="rId12" w:history="1">
        <w:r>
          <w:rPr>
            <w:color w:val="0000FF"/>
          </w:rPr>
          <w:t>НК</w:t>
        </w:r>
      </w:hyperlink>
      <w:r>
        <w:t xml:space="preserve"> РФ (</w:t>
      </w:r>
      <w:hyperlink r:id="rId13" w:history="1">
        <w:r>
          <w:rPr>
            <w:color w:val="0000FF"/>
          </w:rPr>
          <w:t>пункт 3.1 мотивировочной части</w:t>
        </w:r>
      </w:hyperlink>
      <w:r>
        <w:t xml:space="preserve"> Постановления Конституционного Суда Российской Федерации от 23 мая 2013 г. N 11-П).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14" w:history="1">
        <w:r>
          <w:rPr>
            <w:color w:val="0000FF"/>
          </w:rPr>
          <w:t>пункта 6 статьи 333.40</w:t>
        </w:r>
      </w:hyperlink>
      <w:r>
        <w:t xml:space="preserve"> НК РФ плательщик государственной пошлины имеет право на зачет излишне уплаченной суммы государственной пошлины в счет суммы государственной пошлины, подлежащей уплате за совершение аналогичного действия, т.е. зачет может быть осуществлен только в отношении суммы государственной пошлины, уплаченной в размере, превышающем размер государственной пошлины, установленный </w:t>
      </w:r>
      <w:hyperlink r:id="rId15" w:history="1">
        <w:r>
          <w:rPr>
            <w:color w:val="0000FF"/>
          </w:rPr>
          <w:t>главой 25.3</w:t>
        </w:r>
      </w:hyperlink>
      <w:r>
        <w:t xml:space="preserve"> НК РФ.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Учитывая изложенное, </w:t>
      </w:r>
      <w:hyperlink r:id="rId16" w:history="1">
        <w:r>
          <w:rPr>
            <w:color w:val="0000FF"/>
          </w:rPr>
          <w:t>пункт 1 статьи 333.40</w:t>
        </w:r>
      </w:hyperlink>
      <w:r>
        <w:t xml:space="preserve"> НК РФ как по своему буквальному смыслу, так и во взаимосвязи с положениями </w:t>
      </w:r>
      <w:hyperlink r:id="rId17" w:history="1">
        <w:r>
          <w:rPr>
            <w:color w:val="0000FF"/>
          </w:rPr>
          <w:t>подпункта 96 пункта 1 статьи 333.33</w:t>
        </w:r>
      </w:hyperlink>
      <w:r>
        <w:t xml:space="preserve"> и </w:t>
      </w:r>
      <w:hyperlink r:id="rId18" w:history="1">
        <w:r>
          <w:rPr>
            <w:color w:val="0000FF"/>
          </w:rPr>
          <w:t>пункта 6 статьи 333.40</w:t>
        </w:r>
      </w:hyperlink>
      <w:r>
        <w:t xml:space="preserve"> НК РФ не предполагает при повторном обращении в уполномоченный орган зачета ранее уплаченной государственной пошлины за предоставление разрешения на добычу объектов животного мира в случае отказа уполномоченного органа в совершении данного юридически значимого действия.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lastRenderedPageBreak/>
        <w:t>Таким образом, при повторном обращении в уполномоченный орган за предоставлением разрешения на добычу объектов животного мира необходимо уплатить государственную пошлину за совершение указанного юридически значимого действия повторно.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>2. По вопросу освобождения от уплаты государственной пошлины за выдачу разрешений на добычу охотничьих ресурсов, выдаваемых органом государственной власти своим сотрудникам в целях урегулирования численности охотничьих ресурсов на территории общедоступных охотничьих угодий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статье 333.16</w:t>
        </w:r>
      </w:hyperlink>
      <w:r>
        <w:t xml:space="preserve"> НК РФ указано, что государственная пошлина является сбором, взимаемым с организаций и физических лиц при их обращении в государственные органы, органы местного самоуправления, иные органы и (или) к должностным лицам, которые уполномочены в соответствии с законодательными актами Российской Федерации, законодательными актами субъектов Российской Федерации и нормативными правовыми актами органов местного самоуправления, за совершением в отношении этих лиц юридически значимых действий, предусмотренных данной главой, за исключением действий, совершаемых консульскими учреждениями Российской Федерации.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>В целях главы 25.3 НК РФ выдача документов (их дубликатов) приравнивается к юридически значимым действиям.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0" w:history="1">
        <w:r>
          <w:rPr>
            <w:color w:val="0000FF"/>
          </w:rPr>
          <w:t>части 1 статьи 8</w:t>
        </w:r>
      </w:hyperlink>
      <w:r>
        <w:t xml:space="preserve"> Федерального закона N 209-ФЗ право на добычу охотничьих ресурсов возникает у физических лиц и юридических лиц по основаниям и в порядке, которые предусмотрены Федеральным законом N 209-ФЗ.</w:t>
      </w:r>
    </w:p>
    <w:p w:rsidR="00385115" w:rsidRDefault="00385115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Частью 1 статьи 12</w:t>
        </w:r>
      </w:hyperlink>
      <w:r>
        <w:t xml:space="preserve"> Федерального закона N 209-ФЗ в соответствии с целевым назначением определены виды охоты, в частности охота в целях регулирования численности охотничьих ресурсов.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2" w:history="1">
        <w:r>
          <w:rPr>
            <w:color w:val="0000FF"/>
          </w:rPr>
          <w:t>части 3 статьи 16</w:t>
        </w:r>
      </w:hyperlink>
      <w:r>
        <w:t xml:space="preserve"> Федерального закона N 209-ФЗ 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лицами, соответствующими требованиям Федерального закона N 209-ФЗ, при наличии разрешений на добычу охотничьих ресурсов, выданных лицам, указанным в </w:t>
      </w:r>
      <w:hyperlink r:id="rId23" w:history="1">
        <w:r>
          <w:rPr>
            <w:color w:val="0000FF"/>
          </w:rPr>
          <w:t>частях 1</w:t>
        </w:r>
      </w:hyperlink>
      <w:r>
        <w:t xml:space="preserve"> и </w:t>
      </w:r>
      <w:hyperlink r:id="rId24" w:history="1">
        <w:r>
          <w:rPr>
            <w:color w:val="0000FF"/>
          </w:rPr>
          <w:t>2 статьи 20</w:t>
        </w:r>
      </w:hyperlink>
      <w:r>
        <w:t xml:space="preserve"> Федерального закона N 209-ФЗ.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Охотником признается физическое лицо, сведения о котором содержатся в государственном </w:t>
      </w:r>
      <w:proofErr w:type="spellStart"/>
      <w:r>
        <w:t>охотхозяйственном</w:t>
      </w:r>
      <w:proofErr w:type="spellEnd"/>
      <w: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 (</w:t>
      </w:r>
      <w:hyperlink r:id="rId25" w:history="1">
        <w:r>
          <w:rPr>
            <w:color w:val="0000FF"/>
          </w:rPr>
          <w:t>часть 1 статьи 20</w:t>
        </w:r>
      </w:hyperlink>
      <w:r>
        <w:t xml:space="preserve"> Федерального закона N 209-ФЗ).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части 2 статьи 20</w:t>
        </w:r>
      </w:hyperlink>
      <w:r>
        <w:t xml:space="preserve"> Федерального закона N 209-ФЗ указано, что 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385115" w:rsidRDefault="00385115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Статьей 31</w:t>
        </w:r>
      </w:hyperlink>
      <w:r>
        <w:t xml:space="preserve"> Федерального закона N 209-ФЗ установлено, что выдача разрешений на добычу охотничьих ресурсов физическому лицу, указанному в </w:t>
      </w:r>
      <w:hyperlink r:id="rId28" w:history="1">
        <w:r>
          <w:rPr>
            <w:color w:val="0000FF"/>
          </w:rPr>
          <w:t>части 1 статьи 20</w:t>
        </w:r>
      </w:hyperlink>
      <w:r>
        <w:t xml:space="preserve"> Федерального закона N 209-ФЗ, в случаях осуществления им охоты в общедоступных охотничьих угодьях осуществляется органом исполнительной власти субъекта Российской Федерации, а в случаях осуществления охотником охоты в закрепленных охотничьих угодьях выдача данных разрешений осуществляется юридическим лицом и (или) индивидуальным предпринимателем, заключившим </w:t>
      </w:r>
      <w:proofErr w:type="spellStart"/>
      <w:r>
        <w:t>охотхозяйственное</w:t>
      </w:r>
      <w:proofErr w:type="spellEnd"/>
      <w:r>
        <w:t xml:space="preserve"> соглашение.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С учетом изложенных норм </w:t>
      </w:r>
      <w:hyperlink r:id="rId29" w:history="1">
        <w:r>
          <w:rPr>
            <w:color w:val="0000FF"/>
          </w:rPr>
          <w:t>НК</w:t>
        </w:r>
      </w:hyperlink>
      <w:r>
        <w:t xml:space="preserve"> РФ и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N 209-ФЗ за выдачу разрешений на добычу объектов животного мира физическому лицу органом исполнительной власти субъекта Российской Федерации в общедоступных охотничьих угодьях должна уплачиваться </w:t>
      </w:r>
      <w:r>
        <w:lastRenderedPageBreak/>
        <w:t xml:space="preserve">государственная пошлина в соответствии с </w:t>
      </w:r>
      <w:hyperlink r:id="rId31" w:history="1">
        <w:r>
          <w:rPr>
            <w:color w:val="0000FF"/>
          </w:rPr>
          <w:t>подпунктом 96 пункта 1 статьи 333.33</w:t>
        </w:r>
      </w:hyperlink>
      <w:r>
        <w:t xml:space="preserve"> НК РФ.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Льгот по уплате государственной пошлины за предоставление разрешений на добычу объектов животного мира, выдаваемых органом государственной власти своим сотрудникам в целях урегулирования численности охотничьих ресурсов на территории общедоступных охотничьих угодий, </w:t>
      </w:r>
      <w:hyperlink r:id="rId32" w:history="1">
        <w:r>
          <w:rPr>
            <w:color w:val="0000FF"/>
          </w:rPr>
          <w:t>главой 25.3</w:t>
        </w:r>
      </w:hyperlink>
      <w:r>
        <w:t xml:space="preserve"> НК РФ не установлено.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Одновременно обращаем внимание, что в силу </w:t>
      </w:r>
      <w:hyperlink r:id="rId33" w:history="1">
        <w:r>
          <w:rPr>
            <w:color w:val="0000FF"/>
          </w:rPr>
          <w:t>подпункта 4 пункта 1 статьи 333.35</w:t>
        </w:r>
      </w:hyperlink>
      <w:r>
        <w:t xml:space="preserve"> НК РФ от уплаты государственной пошлины освобождаются федеральные органы государственной власти, органы государственной власти субъектов Российской Федерации и органы местного самоуправления при их обращении за совершением юридически значимых действий, установленных главой 25.3 НК РФ.</w:t>
      </w:r>
    </w:p>
    <w:p w:rsidR="00385115" w:rsidRDefault="00385115">
      <w:pPr>
        <w:pStyle w:val="ConsPlusNormal"/>
        <w:spacing w:before="220"/>
        <w:ind w:firstLine="540"/>
        <w:jc w:val="both"/>
      </w:pPr>
      <w:r>
        <w:t xml:space="preserve">Положение </w:t>
      </w:r>
      <w:hyperlink r:id="rId34" w:history="1">
        <w:r>
          <w:rPr>
            <w:color w:val="0000FF"/>
          </w:rPr>
          <w:t>подпункта 4 пункта 1 статьи 333.35</w:t>
        </w:r>
      </w:hyperlink>
      <w:r>
        <w:t xml:space="preserve"> НК РФ распространяется только на органы, входящие в структуру органов государственной власти или местного самоуправления, и означает освобождение их от уплаты государственной пошлины за совершение в отношении их любых юридически значимых действий, установленных </w:t>
      </w:r>
      <w:hyperlink r:id="rId35" w:history="1">
        <w:r>
          <w:rPr>
            <w:color w:val="0000FF"/>
          </w:rPr>
          <w:t>главой 25.3</w:t>
        </w:r>
      </w:hyperlink>
      <w:r>
        <w:t xml:space="preserve"> НК РФ.</w:t>
      </w:r>
    </w:p>
    <w:p w:rsidR="00385115" w:rsidRDefault="00385115">
      <w:pPr>
        <w:pStyle w:val="ConsPlusNormal"/>
        <w:jc w:val="both"/>
      </w:pPr>
    </w:p>
    <w:p w:rsidR="00385115" w:rsidRDefault="00385115">
      <w:pPr>
        <w:pStyle w:val="ConsPlusNormal"/>
        <w:jc w:val="right"/>
      </w:pPr>
      <w:r>
        <w:t>Заместитель директора Департамента</w:t>
      </w:r>
    </w:p>
    <w:p w:rsidR="00385115" w:rsidRDefault="00385115">
      <w:pPr>
        <w:pStyle w:val="ConsPlusNormal"/>
        <w:jc w:val="right"/>
      </w:pPr>
      <w:r>
        <w:t>А.А.СМИРНОВ</w:t>
      </w:r>
    </w:p>
    <w:p w:rsidR="00385115" w:rsidRDefault="00385115">
      <w:pPr>
        <w:pStyle w:val="ConsPlusNormal"/>
      </w:pPr>
      <w:r>
        <w:t>21.09.2020</w:t>
      </w:r>
    </w:p>
    <w:p w:rsidR="00385115" w:rsidRDefault="00385115">
      <w:pPr>
        <w:pStyle w:val="ConsPlusNormal"/>
        <w:jc w:val="both"/>
      </w:pPr>
    </w:p>
    <w:p w:rsidR="00385115" w:rsidRDefault="00385115">
      <w:pPr>
        <w:pStyle w:val="ConsPlusNormal"/>
        <w:jc w:val="both"/>
      </w:pPr>
    </w:p>
    <w:p w:rsidR="00385115" w:rsidRDefault="003851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45FB" w:rsidRDefault="00E545FB">
      <w:bookmarkStart w:id="0" w:name="_GoBack"/>
      <w:bookmarkEnd w:id="0"/>
    </w:p>
    <w:sectPr w:rsidR="00E545FB" w:rsidSect="009C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5"/>
    <w:rsid w:val="00385115"/>
    <w:rsid w:val="00E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233A0-47C0-4DDD-8E93-F02F160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E9B74B58EA123AF340A1E36A707F0C0916F5DDF92B0196EE2A7F453C2249D05871BF40F0940B6CEF0064F04F89F6921EC51EE0083Q75DB" TargetMode="External"/><Relationship Id="rId13" Type="http://schemas.openxmlformats.org/officeDocument/2006/relationships/hyperlink" Target="consultantplus://offline/ref=C0EE9B74B58EA123AF340A1E36A707F0C2906153D99FB0196EE2A7F453C2249D05871BF40C0B40BE9AAA164B4DAC957626F44FEA1E837CBAQ253B" TargetMode="External"/><Relationship Id="rId18" Type="http://schemas.openxmlformats.org/officeDocument/2006/relationships/hyperlink" Target="consultantplus://offline/ref=C0EE9B74B58EA123AF340A1E36A707F0C0916F5DDF92B0196EE2A7F453C2249D05871BF40F0846B6CEF0064F04F89F6921EC51EE0083Q75DB" TargetMode="External"/><Relationship Id="rId26" Type="http://schemas.openxmlformats.org/officeDocument/2006/relationships/hyperlink" Target="consultantplus://offline/ref=C0EE9B74B58EA123AF340A1E36A707F0C091605CDE9DB0196EE2A7F453C2249D05871BF40C0B41BE9CAA164B4DAC957626F44FEA1E837CBAQ253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0EE9B74B58EA123AF340A1E36A707F0C091605CDE9DB0196EE2A7F453C2249D05871BF40C0B40B599AA164B4DAC957626F44FEA1E837CBAQ253B" TargetMode="External"/><Relationship Id="rId34" Type="http://schemas.openxmlformats.org/officeDocument/2006/relationships/hyperlink" Target="consultantplus://offline/ref=C0EE9B74B58EA123AF340A1E36A707F0C0916F5DDF92B0196EE2A7F453C2249D05871BF40B0943BE91F5135E5CF499703FEA49F202817EQB59B" TargetMode="External"/><Relationship Id="rId7" Type="http://schemas.openxmlformats.org/officeDocument/2006/relationships/hyperlink" Target="consultantplus://offline/ref=C0EE9B74B58EA123AF340A1E36A707F0C0916F5DDF92B0196EE2A7F453C2249D05871BF209024BE9CBE5171708FE867727F44DEC02Q850B" TargetMode="External"/><Relationship Id="rId12" Type="http://schemas.openxmlformats.org/officeDocument/2006/relationships/hyperlink" Target="consultantplus://offline/ref=C0EE9B74B58EA123AF340A1E36A707F0C091605DD99DB0196EE2A7F453C2249D178743F80D0C5EBD9CBF401A0BQF58B" TargetMode="External"/><Relationship Id="rId17" Type="http://schemas.openxmlformats.org/officeDocument/2006/relationships/hyperlink" Target="consultantplus://offline/ref=C0EE9B74B58EA123AF340A1E36A707F0C0916F5DDF92B0196EE2A7F453C2249D05871BF40C0942BF91F5135E5CF499703FEA49F202817EQB59B" TargetMode="External"/><Relationship Id="rId25" Type="http://schemas.openxmlformats.org/officeDocument/2006/relationships/hyperlink" Target="consultantplus://offline/ref=C0EE9B74B58EA123AF340A1E36A707F0C091605CDE9DB0196EE2A7F453C2249D05871BF40C0B41BE9FAA164B4DAC957626F44FEA1E837CBAQ253B" TargetMode="External"/><Relationship Id="rId33" Type="http://schemas.openxmlformats.org/officeDocument/2006/relationships/hyperlink" Target="consultantplus://offline/ref=C0EE9B74B58EA123AF340A1E36A707F0C0916F5DDF92B0196EE2A7F453C2249D05871BF40B0943BE91F5135E5CF499703FEA49F202817EQB59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EE9B74B58EA123AF340A1E36A707F0C0916F5DDF92B0196EE2A7F453C2249D05871BF40F0941B6CEF0064F04F89F6921EC51EE0083Q75DB" TargetMode="External"/><Relationship Id="rId20" Type="http://schemas.openxmlformats.org/officeDocument/2006/relationships/hyperlink" Target="consultantplus://offline/ref=C0EE9B74B58EA123AF340A1E36A707F0C091605CDE9DB0196EE2A7F453C2249D05871BF40C0B40B89FAA164B4DAC957626F44FEA1E837CBAQ253B" TargetMode="External"/><Relationship Id="rId29" Type="http://schemas.openxmlformats.org/officeDocument/2006/relationships/hyperlink" Target="consultantplus://offline/ref=C0EE9B74B58EA123AF340A1E36A707F0C0916F5DDF92B0196EE2A7F453C2249D05871BF209024BE9CBE5171708FE867727F44DEC02Q850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EE9B74B58EA123AF340A1E36A707F0C0916F5DDF92B0196EE2A7F453C2249D05871BF40C0942BF91F5135E5CF499703FEA49F202817EQB59B" TargetMode="External"/><Relationship Id="rId11" Type="http://schemas.openxmlformats.org/officeDocument/2006/relationships/hyperlink" Target="consultantplus://offline/ref=C0EE9B74B58EA123AF340A1E36A707F0C0916F5DDF92B0196EE2A7F453C2249D05871BF40F0941B6CEF0064F04F89F6921EC51EE0083Q75DB" TargetMode="External"/><Relationship Id="rId24" Type="http://schemas.openxmlformats.org/officeDocument/2006/relationships/hyperlink" Target="consultantplus://offline/ref=C0EE9B74B58EA123AF340A1E36A707F0C091605CDE9DB0196EE2A7F453C2249D05871BF40C0B41BE9CAA164B4DAC957626F44FEA1E837CBAQ253B" TargetMode="External"/><Relationship Id="rId32" Type="http://schemas.openxmlformats.org/officeDocument/2006/relationships/hyperlink" Target="consultantplus://offline/ref=C0EE9B74B58EA123AF340A1E36A707F0C0916F5DDF92B0196EE2A7F453C2249D05871BF209024BE9CBE5171708FE867727F44DEC02Q850B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0EE9B74B58EA123AF340A1E36A707F0C091605CDE9DB0196EE2A7F453C2249D05871BFC0C0014ECDEF44F1B0EE798713FE84FEEQ051B" TargetMode="External"/><Relationship Id="rId15" Type="http://schemas.openxmlformats.org/officeDocument/2006/relationships/hyperlink" Target="consultantplus://offline/ref=C0EE9B74B58EA123AF340A1E36A707F0C0916F5DDF92B0196EE2A7F453C2249D05871BF209024BE9CBE5171708FE867727F44DEC02Q850B" TargetMode="External"/><Relationship Id="rId23" Type="http://schemas.openxmlformats.org/officeDocument/2006/relationships/hyperlink" Target="consultantplus://offline/ref=C0EE9B74B58EA123AF340A1E36A707F0C091605CDE9DB0196EE2A7F453C2249D05871BF40C0B41BE9FAA164B4DAC957626F44FEA1E837CBAQ253B" TargetMode="External"/><Relationship Id="rId28" Type="http://schemas.openxmlformats.org/officeDocument/2006/relationships/hyperlink" Target="consultantplus://offline/ref=C0EE9B74B58EA123AF340A1E36A707F0C091605CDE9DB0196EE2A7F453C2249D05871BF40C0B41BE9FAA164B4DAC957626F44FEA1E837CBAQ253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0EE9B74B58EA123AF340A1E36A707F0C0916F5DDF92B0196EE2A7F453C2249D05871BF209024BE9CBE5171708FE867727F44DEC02Q850B" TargetMode="External"/><Relationship Id="rId19" Type="http://schemas.openxmlformats.org/officeDocument/2006/relationships/hyperlink" Target="consultantplus://offline/ref=C0EE9B74B58EA123AF340A1E36A707F0C0916F5DDF92B0196EE2A7F453C2249D05871BF20A0A4BE9CBE5171708FE867727F44DEC02Q850B" TargetMode="External"/><Relationship Id="rId31" Type="http://schemas.openxmlformats.org/officeDocument/2006/relationships/hyperlink" Target="consultantplus://offline/ref=C0EE9B74B58EA123AF340A1E36A707F0C0916F5DDF92B0196EE2A7F453C2249D05871BF40C0942BF91F5135E5CF499703FEA49F202817EQB59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0EE9B74B58EA123AF340A1E36A707F0C0916F5DDF92B0196EE2A7F453C2249D05871BF40F0941B6CEF0064F04F89F6921EC51EE0083Q75DB" TargetMode="External"/><Relationship Id="rId14" Type="http://schemas.openxmlformats.org/officeDocument/2006/relationships/hyperlink" Target="consultantplus://offline/ref=C0EE9B74B58EA123AF340A1E36A707F0C0916F5DDF92B0196EE2A7F453C2249D05871BF40F0846B6CEF0064F04F89F6921EC51EE0083Q75DB" TargetMode="External"/><Relationship Id="rId22" Type="http://schemas.openxmlformats.org/officeDocument/2006/relationships/hyperlink" Target="consultantplus://offline/ref=C0EE9B74B58EA123AF340A1E36A707F0C091605CDE9DB0196EE2A7F453C2249D05871BF4080B4BE9CBE5171708FE867727F44DEC02Q850B" TargetMode="External"/><Relationship Id="rId27" Type="http://schemas.openxmlformats.org/officeDocument/2006/relationships/hyperlink" Target="consultantplus://offline/ref=C0EE9B74B58EA123AF340A1E36A707F0C091605CDE9DB0196EE2A7F453C2249D05871BF40C0B42B499AA164B4DAC957626F44FEA1E837CBAQ253B" TargetMode="External"/><Relationship Id="rId30" Type="http://schemas.openxmlformats.org/officeDocument/2006/relationships/hyperlink" Target="consultantplus://offline/ref=C0EE9B74B58EA123AF340A1E36A707F0C091605CDE9DB0196EE2A7F453C2249D178743F80D0C5EBD9CBF401A0BQF58B" TargetMode="External"/><Relationship Id="rId35" Type="http://schemas.openxmlformats.org/officeDocument/2006/relationships/hyperlink" Target="consultantplus://offline/ref=C0EE9B74B58EA123AF340A1E36A707F0C0916F5DDF92B0196EE2A7F453C2249D05871BF209024BE9CBE5171708FE867727F44DEC02Q85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Бутивченко Олеся Валентиновна</dc:creator>
  <cp:keywords/>
  <dc:description/>
  <cp:lastModifiedBy>Бутивченко Олеся Валентиновна</cp:lastModifiedBy>
  <cp:revision>1</cp:revision>
  <dcterms:created xsi:type="dcterms:W3CDTF">2021-06-17T01:57:00Z</dcterms:created>
  <dcterms:modified xsi:type="dcterms:W3CDTF">2021-06-17T02:02:00Z</dcterms:modified>
</cp:coreProperties>
</file>