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6" w:rsidRDefault="003050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5086" w:rsidRDefault="00305086">
      <w:pPr>
        <w:pStyle w:val="ConsPlusNormal"/>
        <w:jc w:val="both"/>
        <w:outlineLvl w:val="0"/>
      </w:pPr>
    </w:p>
    <w:p w:rsidR="00305086" w:rsidRDefault="00305086">
      <w:pPr>
        <w:pStyle w:val="ConsPlusNormal"/>
        <w:outlineLvl w:val="0"/>
      </w:pPr>
      <w:r>
        <w:t>Зарегистрировано в Минюсте России 11 декабря 2020 г. N 61407</w:t>
      </w:r>
    </w:p>
    <w:p w:rsidR="00305086" w:rsidRDefault="00305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Title"/>
        <w:jc w:val="center"/>
      </w:pPr>
      <w:r>
        <w:t>МИНИСТЕРСТВО ПРИРОДНЫХ РЕСУРСОВ И ЭКОЛОГИИ</w:t>
      </w:r>
    </w:p>
    <w:p w:rsidR="00305086" w:rsidRDefault="00305086">
      <w:pPr>
        <w:pStyle w:val="ConsPlusTitle"/>
        <w:jc w:val="center"/>
      </w:pPr>
      <w:r>
        <w:t>РОССИЙСКОЙ ФЕДЕРАЦИИ</w:t>
      </w:r>
    </w:p>
    <w:p w:rsidR="00305086" w:rsidRDefault="00305086">
      <w:pPr>
        <w:pStyle w:val="ConsPlusTitle"/>
        <w:jc w:val="center"/>
      </w:pPr>
    </w:p>
    <w:p w:rsidR="00305086" w:rsidRDefault="00305086">
      <w:pPr>
        <w:pStyle w:val="ConsPlusTitle"/>
        <w:jc w:val="center"/>
      </w:pPr>
      <w:r>
        <w:t>ПРИКАЗ</w:t>
      </w:r>
    </w:p>
    <w:p w:rsidR="00305086" w:rsidRDefault="00305086">
      <w:pPr>
        <w:pStyle w:val="ConsPlusTitle"/>
        <w:jc w:val="center"/>
      </w:pPr>
      <w:r>
        <w:t>от 25 ноября 2020 г. N 964</w:t>
      </w:r>
    </w:p>
    <w:p w:rsidR="00305086" w:rsidRDefault="00305086">
      <w:pPr>
        <w:pStyle w:val="ConsPlusTitle"/>
        <w:jc w:val="center"/>
      </w:pPr>
    </w:p>
    <w:p w:rsidR="00305086" w:rsidRDefault="00305086">
      <w:pPr>
        <w:pStyle w:val="ConsPlusTitle"/>
        <w:jc w:val="center"/>
      </w:pPr>
      <w:r>
        <w:t>ОБ УТВЕРЖДЕНИИ ПОРЯДКА</w:t>
      </w:r>
    </w:p>
    <w:p w:rsidR="00305086" w:rsidRDefault="00305086">
      <w:pPr>
        <w:pStyle w:val="ConsPlusTitle"/>
        <w:jc w:val="center"/>
      </w:pPr>
      <w:r>
        <w:t xml:space="preserve">ОСУЩЕСТВЛЕНИЯ ГОСУДАРСТВЕННОГО МОНИТОРИНГА </w:t>
      </w:r>
      <w:proofErr w:type="gramStart"/>
      <w:r>
        <w:t>ОХОТНИЧЬИХ</w:t>
      </w:r>
      <w:proofErr w:type="gramEnd"/>
    </w:p>
    <w:p w:rsidR="00305086" w:rsidRDefault="00305086">
      <w:pPr>
        <w:pStyle w:val="ConsPlusTitle"/>
        <w:jc w:val="center"/>
      </w:pPr>
      <w:r>
        <w:t>РЕСУРСОВ И СРЕДЫ ИХ ОБИТАНИЯ И ПРИМЕНЕНИЯ ЕГО ДАННЫХ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12 статьи 32</w:t>
        </w:r>
      </w:hyperlink>
      <w:r>
        <w:t xml:space="preserve"> и </w:t>
      </w:r>
      <w:hyperlink r:id="rId7" w:history="1">
        <w:r>
          <w:rPr>
            <w:color w:val="0000FF"/>
          </w:rPr>
          <w:t>части 6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2011, N 48, ст. 6732;</w:t>
      </w:r>
      <w:proofErr w:type="gramEnd"/>
      <w:r>
        <w:t xml:space="preserve"> </w:t>
      </w:r>
      <w:proofErr w:type="gramStart"/>
      <w:r>
        <w:t xml:space="preserve">2018, N 11, ст. 1589) и в соответствии с </w:t>
      </w:r>
      <w:hyperlink r:id="rId8" w:history="1">
        <w:r>
          <w:rPr>
            <w:color w:val="0000FF"/>
          </w:rPr>
          <w:t>подпунктом 5.2.82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  <w:proofErr w:type="gramEnd"/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мониторинга охотничьих ресурсов и среды их обитания и применения его данных.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 и действует по 31 декабря 2026 года.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right"/>
      </w:pPr>
      <w:r>
        <w:t>Министр</w:t>
      </w:r>
    </w:p>
    <w:p w:rsidR="00305086" w:rsidRDefault="00305086">
      <w:pPr>
        <w:pStyle w:val="ConsPlusNormal"/>
        <w:jc w:val="right"/>
      </w:pPr>
      <w:r>
        <w:t>А.А.КОЗЛОВ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right"/>
        <w:outlineLvl w:val="0"/>
      </w:pPr>
      <w:r>
        <w:t>Утвержден</w:t>
      </w:r>
    </w:p>
    <w:p w:rsidR="00305086" w:rsidRDefault="00305086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305086" w:rsidRDefault="00305086">
      <w:pPr>
        <w:pStyle w:val="ConsPlusNormal"/>
        <w:jc w:val="right"/>
      </w:pPr>
      <w:r>
        <w:t>ресурсов и экологии</w:t>
      </w:r>
    </w:p>
    <w:p w:rsidR="00305086" w:rsidRDefault="00305086">
      <w:pPr>
        <w:pStyle w:val="ConsPlusNormal"/>
        <w:jc w:val="right"/>
      </w:pPr>
      <w:r>
        <w:lastRenderedPageBreak/>
        <w:t>Российской Федерации</w:t>
      </w:r>
    </w:p>
    <w:p w:rsidR="00305086" w:rsidRDefault="00305086">
      <w:pPr>
        <w:pStyle w:val="ConsPlusNormal"/>
        <w:jc w:val="right"/>
      </w:pPr>
      <w:r>
        <w:t>от 25.11.2020 N 964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Title"/>
        <w:jc w:val="center"/>
      </w:pPr>
      <w:bookmarkStart w:id="0" w:name="P31"/>
      <w:bookmarkEnd w:id="0"/>
      <w:r>
        <w:t>ПОРЯДОК</w:t>
      </w:r>
    </w:p>
    <w:p w:rsidR="00305086" w:rsidRDefault="00305086">
      <w:pPr>
        <w:pStyle w:val="ConsPlusTitle"/>
        <w:jc w:val="center"/>
      </w:pPr>
      <w:r>
        <w:t xml:space="preserve">ОСУЩЕСТВЛЕНИЯ ГОСУДАРСТВЕННОГО МОНИТОРИНГА </w:t>
      </w:r>
      <w:proofErr w:type="gramStart"/>
      <w:r>
        <w:t>ОХОТНИЧЬИХ</w:t>
      </w:r>
      <w:proofErr w:type="gramEnd"/>
    </w:p>
    <w:p w:rsidR="00305086" w:rsidRDefault="00305086">
      <w:pPr>
        <w:pStyle w:val="ConsPlusTitle"/>
        <w:jc w:val="center"/>
      </w:pPr>
      <w:r>
        <w:t>РЕСУРСОВ И СРЕДЫ ИХ ОБИТАНИЯ И ПРИМЕНЕНИЯ ЕГО ДАННЫХ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ind w:firstLine="540"/>
        <w:jc w:val="both"/>
      </w:pPr>
      <w:r>
        <w:t>1. Государственный мониторинг охотничьих ресурсов и среды их обитания (далее - Государственный мониторинг) представляет собой систему регулярных наблюдений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 &lt;1&gt;.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(Собрание законодательства Российской Федерации, 2009, N 30, ст. 3735; 2011, N 48, ст. 6732).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ind w:firstLine="540"/>
        <w:jc w:val="both"/>
      </w:pPr>
      <w:r>
        <w:t>2. Данные Государственного мониторинга состоят из ежегодно обновляемых сведений о численности и распространении охотничьих ресурсов, размещении их в среде обитания, состоянии охотничьих ресурсов и динамике их изменения по видам и сведений о состоянии среды обитания охотничьих ресурсов и охотничьих угодий.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3. Данные Государственного мониторинга применяются для организации рационального использования охотничьих ресурсов, сохранения охотничьих ресурсов и среды их обитания &lt;2&gt;.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36</w:t>
        </w:r>
      </w:hyperlink>
      <w:r>
        <w:t xml:space="preserve"> Федерального закона N 209-ФЗ.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ind w:firstLine="540"/>
        <w:jc w:val="both"/>
      </w:pPr>
      <w:bookmarkStart w:id="1" w:name="P44"/>
      <w:bookmarkEnd w:id="1"/>
      <w:r>
        <w:t>4. При осуществлении Государственного мониторинга определяется: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4.1) численность и распространение охотничьих ресурсов (по видам), размещение их в среде обитания (в разрезе охотничьих угодий и иных территорий, являющихся средой обитания охотничьих ресурсов);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4.2) динамика изменения численности охотничьих ресурсов (по видам) с начала осуществления Государственного мониторинга в субъекте Российской </w:t>
      </w:r>
      <w:r>
        <w:lastRenderedPageBreak/>
        <w:t>Федерации;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4.3) состояние охотничьих ресурсов (плодовитость, заболевания охотничьих ресурсов);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4.4) состояние среды обитания охотничьих ресурсов (площадь категорий среды обитания, указанных в </w:t>
      </w:r>
      <w:hyperlink w:anchor="P55" w:history="1">
        <w:r>
          <w:rPr>
            <w:color w:val="0000FF"/>
          </w:rPr>
          <w:t>пунктах 7.1.1</w:t>
        </w:r>
      </w:hyperlink>
      <w:r>
        <w:t xml:space="preserve"> - </w:t>
      </w:r>
      <w:hyperlink w:anchor="P67" w:history="1">
        <w:r>
          <w:rPr>
            <w:color w:val="0000FF"/>
          </w:rPr>
          <w:t>7.1.13</w:t>
        </w:r>
      </w:hyperlink>
      <w:r>
        <w:t xml:space="preserve"> настоящего Порядка);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4.5) площадь охотничьих угодий (общедоступных, закрепленных) и иных территорий, являющихся средой обитания охотничьих ресурсов;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4.6) площадь территорий, пригодных для обитания охотничьих ресурсов.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5. Государственный мониторинг на территории субъекта Российской Федерации, за исключением особо охраняемых природных территорий федерального значения, осуществляет орган исполнительной власти субъекта Российской Федерации, уполномоченный в области охоты и сохранения охотничьих ресурсов (далее - уполномоченный орган субъекта Российской Федерации).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6. Государственный мониторинг на особо охраняемых природных территориях федерального значения осуществляют природоохранные учреждения, предусмотренные законодательством Российской Федерации об особо охраняемых природных территориях (далее - природоохранные учреждения).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 При осуществлении Государственного мониторинга: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7.1) оценивается площадь следующих категорий среды обитания, составляющих территорию субъекта Российской Федерации:</w:t>
      </w:r>
    </w:p>
    <w:p w:rsidR="00305086" w:rsidRDefault="00305086">
      <w:pPr>
        <w:pStyle w:val="ConsPlusNormal"/>
        <w:spacing w:before="280"/>
        <w:ind w:firstLine="540"/>
        <w:jc w:val="both"/>
      </w:pPr>
      <w:bookmarkStart w:id="2" w:name="P55"/>
      <w:bookmarkEnd w:id="2"/>
      <w:r>
        <w:t>7.1.1) леса (территории, покрытые кронами древесной и древесно-кустарниковой растительности более чем на 20% площади и с высотой растений более 5 м);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7.1.2) 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7.1.3) 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7.1.4) болота (территории, постоянно или большую часть года избыточно насыщенные водой и покрытые специфической гигрофитной </w:t>
      </w:r>
      <w:r>
        <w:lastRenderedPageBreak/>
        <w:t>растительностью);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7.1.5) лугово-степные комплексы (территории, занятые многолетней мезофитной и ксерофитной травянистой растительностью);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7.1.6) альпийские луга (территории, занятые высокогорной травянистой растительностью, расположенные за верхними пределами горных лесов);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7.1.7) пустыни и камни (территории, покрытые растительностью менее чем на 20% площади. </w:t>
      </w:r>
      <w:proofErr w:type="gramStart"/>
      <w:r>
        <w:t>К данной категории также относят солончаки, ледники, скалы и каменистые россыпи без растительности);</w:t>
      </w:r>
      <w:proofErr w:type="gramEnd"/>
    </w:p>
    <w:p w:rsidR="00305086" w:rsidRDefault="00305086">
      <w:pPr>
        <w:pStyle w:val="ConsPlusNormal"/>
        <w:spacing w:before="280"/>
        <w:ind w:firstLine="540"/>
        <w:jc w:val="both"/>
      </w:pPr>
      <w:r>
        <w:t>7.1.8) сельскохозяйственные угодья (территории, вовлеченные в сельскохозяйственный оборот, пашни (в том числе заливные), залежи, сенокосы);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7.1.9) внутренние водоемы (все акватории водотоков (рек, ручьев, мелиоративных каналов), озер, прудов и водохранилищ);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7.1.10) 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7.1.11) 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7.1.12) 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воздействий);</w:t>
      </w:r>
    </w:p>
    <w:p w:rsidR="00305086" w:rsidRDefault="00305086">
      <w:pPr>
        <w:pStyle w:val="ConsPlusNormal"/>
        <w:spacing w:before="280"/>
        <w:ind w:firstLine="540"/>
        <w:jc w:val="both"/>
      </w:pPr>
      <w:bookmarkStart w:id="3" w:name="P67"/>
      <w:bookmarkEnd w:id="3"/>
      <w:r>
        <w:t>7.1.13) непригодные для ведения охотничьего хозяйства участки (территории, занятые населенными пунктами, промышленными комплексами);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7.2) осуществляется сбор сведений о численности и состоянии охотничьих ресурсов (по видам):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7.2.1) в общедоступных охотничьих угодьях и на иных территориях, являющихся средой обитания охотничьих ресурсов, - уполномоченными органами субъектов Российской Федерации;</w:t>
      </w:r>
    </w:p>
    <w:p w:rsidR="00305086" w:rsidRDefault="00305086">
      <w:pPr>
        <w:pStyle w:val="ConsPlusNormal"/>
        <w:spacing w:before="280"/>
        <w:ind w:firstLine="540"/>
        <w:jc w:val="both"/>
      </w:pPr>
      <w:bookmarkStart w:id="4" w:name="P70"/>
      <w:bookmarkEnd w:id="4"/>
      <w:r>
        <w:lastRenderedPageBreak/>
        <w:t xml:space="preserve">7.2.2) в закрепленных охотничьих угодьях - юридическими лицами, индивидуальными предпринимателями,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305086" w:rsidRDefault="00305086">
      <w:pPr>
        <w:pStyle w:val="ConsPlusNormal"/>
        <w:spacing w:before="280"/>
        <w:ind w:firstLine="540"/>
        <w:jc w:val="both"/>
      </w:pPr>
      <w:bookmarkStart w:id="5" w:name="P71"/>
      <w:bookmarkEnd w:id="5"/>
      <w:r>
        <w:t>7.2.3) на особо охраняемых территориях федерального значения - природоохранными учреждениями.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8. Государственный мониторинг проводится в отношении каждого вида охотничьих ресурсов, указанных в </w:t>
      </w:r>
      <w:hyperlink r:id="rId12" w:history="1">
        <w:r>
          <w:rPr>
            <w:color w:val="0000FF"/>
          </w:rPr>
          <w:t>статье 11</w:t>
        </w:r>
      </w:hyperlink>
      <w:r>
        <w:t xml:space="preserve"> Федерального закона N 209-ФЗ, обитающих на территории субъекта Российской Федерации.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9. Ежегодно до 1 апреля лица, указанные в </w:t>
      </w:r>
      <w:hyperlink w:anchor="P70" w:history="1">
        <w:r>
          <w:rPr>
            <w:color w:val="0000FF"/>
          </w:rPr>
          <w:t>пункте 7.2.2</w:t>
        </w:r>
      </w:hyperlink>
      <w:r>
        <w:t xml:space="preserve"> настоящего Порядка,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субъекта Российской Федерации данные о численности и распространении охотничьих ресурсов (по видам), динамике изменения численности охотничьих ресурсов (по видам), состоянии охотничьих ресурсов (плодовитость, заболевания охотничьих ресурсов).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 xml:space="preserve">9.1 Ежегодно до 15 мая лица, указанные в </w:t>
      </w:r>
      <w:hyperlink w:anchor="P71" w:history="1">
        <w:r>
          <w:rPr>
            <w:color w:val="0000FF"/>
          </w:rPr>
          <w:t>пункте 7.2.3</w:t>
        </w:r>
      </w:hyperlink>
      <w:r>
        <w:t xml:space="preserve"> настоящего Порядка, представляют данные, указанные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Порядка в Министерство природных ресурсов и экологии Российской Федерации.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10. Ежегодно до 15 мая уполномоченный орган субъекта Российской Федерации направляет данные Государственного мониторинга в Министерство природных ресурсов и экологии Российской Федерации.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11. Данные Государственного мониторинга охотничьих ресурсов и среды их обитания представляются и хранятся на бумажном и электронном носителях.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12. Министерство природных ресурсов и экологии Российской Федерации обобщает представленные уполномоченными органами субъектов Российской Федерации данные Государственного мониторинга.</w:t>
      </w:r>
    </w:p>
    <w:p w:rsidR="00305086" w:rsidRDefault="00305086">
      <w:pPr>
        <w:pStyle w:val="ConsPlusNormal"/>
        <w:spacing w:before="280"/>
        <w:ind w:firstLine="540"/>
        <w:jc w:val="both"/>
      </w:pPr>
      <w:r>
        <w:t>13. Данные Государственного мониторинга применяются для формирования государственных информационных ресурсов о состоянии охотничьих ресурсов, среды их обитания и охотничьих угодий и осуществления государственного мониторинга окружающей среды.</w:t>
      </w: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jc w:val="both"/>
      </w:pPr>
    </w:p>
    <w:p w:rsidR="00305086" w:rsidRDefault="00305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6" w:name="_GoBack"/>
      <w:bookmarkEnd w:id="6"/>
    </w:p>
    <w:sectPr w:rsidR="007922E0" w:rsidSect="008A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6"/>
    <w:rsid w:val="00305086"/>
    <w:rsid w:val="0040139A"/>
    <w:rsid w:val="007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8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0508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0508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8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0508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0508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07A5E7547DE515D40209A6043003D7BBBCAA4F69356C6A4C0C77041E3F0993405312D5F6FBD09F16B77D18382FD1D9828EA9E9022B796k9X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07A5E7547DE515D40209A6043003D7BBACEA9F29156C6A4C0C77041E3F0993405312D5F6FBF01F06B77D18382FD1D9828EA9E9022B796k9X2D" TargetMode="External"/><Relationship Id="rId12" Type="http://schemas.openxmlformats.org/officeDocument/2006/relationships/hyperlink" Target="consultantplus://offline/ref=DB507A5E7547DE515D40209A6043003D7BBACEA9F29156C6A4C0C77041E3F0993405312D5F6FBC0EF86B77D18382FD1D9828EA9E9022B796k9X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07A5E7547DE515D40209A6043003D7BBACEA9F29156C6A4C0C77041E3F0993405312D5F6FBF0AF06B77D18382FD1D9828EA9E9022B796k9X2D" TargetMode="External"/><Relationship Id="rId11" Type="http://schemas.openxmlformats.org/officeDocument/2006/relationships/hyperlink" Target="consultantplus://offline/ref=DB507A5E7547DE515D40209A6043003D7BBACEA9F29156C6A4C0C77041E3F099260569215D6FA208F17E2180C5kDX5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B507A5E7547DE515D40209A6043003D7BBACEA9F29156C6A4C0C77041E3F0993405312D5F6FBF00F76B77D18382FD1D9828EA9E9022B796k9X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07A5E7547DE515D40209A6043003D7BBACEA9F29156C6A4C0C77041E3F0993405312D5F6FBF00F36B77D18382FD1D9828EA9E9022B796k9X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2022-01-20T03:23:00Z</dcterms:created>
  <dcterms:modified xsi:type="dcterms:W3CDTF">2022-01-20T03:23:00Z</dcterms:modified>
</cp:coreProperties>
</file>