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7D" w:rsidRDefault="003F77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777D" w:rsidRDefault="003F777D">
      <w:pPr>
        <w:pStyle w:val="ConsPlusNormal"/>
        <w:jc w:val="both"/>
        <w:outlineLvl w:val="0"/>
      </w:pPr>
    </w:p>
    <w:p w:rsidR="003F777D" w:rsidRDefault="003F777D">
      <w:pPr>
        <w:pStyle w:val="ConsPlusNormal"/>
        <w:outlineLvl w:val="0"/>
      </w:pPr>
      <w:r>
        <w:t>Зарегистрировано в Минюсте России 18 сентября 2020 г. N 59947</w:t>
      </w:r>
    </w:p>
    <w:p w:rsidR="003F777D" w:rsidRDefault="003F77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777D" w:rsidRDefault="003F777D">
      <w:pPr>
        <w:pStyle w:val="ConsPlusNormal"/>
        <w:jc w:val="both"/>
      </w:pPr>
    </w:p>
    <w:p w:rsidR="003F777D" w:rsidRDefault="003F777D">
      <w:pPr>
        <w:pStyle w:val="ConsPlusTitle"/>
        <w:jc w:val="center"/>
      </w:pPr>
      <w:r>
        <w:t>МИНИСТЕРСТВО ПРИРОДНЫХ РЕСУРСОВ И ЭКОЛОГИИ</w:t>
      </w:r>
    </w:p>
    <w:p w:rsidR="003F777D" w:rsidRDefault="003F777D">
      <w:pPr>
        <w:pStyle w:val="ConsPlusTitle"/>
        <w:jc w:val="center"/>
      </w:pPr>
      <w:r>
        <w:t>РОССИЙСКОЙ ФЕДЕРАЦИИ</w:t>
      </w:r>
    </w:p>
    <w:p w:rsidR="003F777D" w:rsidRDefault="003F777D">
      <w:pPr>
        <w:pStyle w:val="ConsPlusTitle"/>
        <w:jc w:val="center"/>
      </w:pPr>
    </w:p>
    <w:p w:rsidR="003F777D" w:rsidRDefault="003F777D">
      <w:pPr>
        <w:pStyle w:val="ConsPlusTitle"/>
        <w:jc w:val="center"/>
      </w:pPr>
      <w:r>
        <w:t>ПРИКАЗ</w:t>
      </w:r>
    </w:p>
    <w:p w:rsidR="003F777D" w:rsidRDefault="003F777D">
      <w:pPr>
        <w:pStyle w:val="ConsPlusTitle"/>
        <w:jc w:val="center"/>
      </w:pPr>
      <w:r>
        <w:t>от 30 июня 2020 г. N 403</w:t>
      </w:r>
    </w:p>
    <w:p w:rsidR="003F777D" w:rsidRDefault="003F777D">
      <w:pPr>
        <w:pStyle w:val="ConsPlusTitle"/>
        <w:jc w:val="center"/>
      </w:pPr>
    </w:p>
    <w:p w:rsidR="003F777D" w:rsidRDefault="003F777D">
      <w:pPr>
        <w:pStyle w:val="ConsPlusTitle"/>
        <w:jc w:val="center"/>
      </w:pPr>
      <w:r>
        <w:t>ОБ УСТАНОВЛЕНИИ</w:t>
      </w:r>
    </w:p>
    <w:p w:rsidR="003F777D" w:rsidRDefault="003F777D">
      <w:pPr>
        <w:pStyle w:val="ConsPlusTitle"/>
        <w:jc w:val="center"/>
      </w:pPr>
      <w:r>
        <w:t>ОГРАНИЧЕНИЙ ЛЮБИТЕЛЬСКОЙ И СПОРТИВНОЙ ОХОТЫ В ОТНОШЕНИИ</w:t>
      </w:r>
    </w:p>
    <w:p w:rsidR="003F777D" w:rsidRDefault="003F777D">
      <w:pPr>
        <w:pStyle w:val="ConsPlusTitle"/>
        <w:jc w:val="center"/>
      </w:pPr>
      <w:r>
        <w:t>ОХОТНИЧЬИХ РЕСУРСОВ, НАХОДЯЩИХСЯ В ПОЛУВОЛЬНЫХ УСЛОВИЯХ</w:t>
      </w:r>
    </w:p>
    <w:p w:rsidR="003F777D" w:rsidRDefault="003F777D">
      <w:pPr>
        <w:pStyle w:val="ConsPlusTitle"/>
        <w:jc w:val="center"/>
      </w:pPr>
      <w:r>
        <w:t>И ИСКУССТВЕННО СОЗДАННОЙ СРЕДЕ ОБИТАНИЯ</w:t>
      </w:r>
    </w:p>
    <w:p w:rsidR="003F777D" w:rsidRDefault="003F77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F77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77D" w:rsidRDefault="003F777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77D" w:rsidRDefault="003F777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F777D" w:rsidRDefault="003F77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77D" w:rsidRDefault="003F77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22.04.2021 N 278)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F777D" w:rsidRDefault="003F777D">
            <w:pPr>
              <w:spacing w:after="1" w:line="0" w:lineRule="atLeast"/>
            </w:pPr>
          </w:p>
        </w:tc>
      </w:tr>
    </w:tbl>
    <w:p w:rsidR="003F777D" w:rsidRDefault="003F777D">
      <w:pPr>
        <w:pStyle w:val="ConsPlusNormal"/>
        <w:jc w:val="both"/>
      </w:pPr>
    </w:p>
    <w:p w:rsidR="003F777D" w:rsidRDefault="003F777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17, ст. 2725) и </w:t>
      </w:r>
      <w:hyperlink r:id="rId8" w:history="1">
        <w:r>
          <w:rPr>
            <w:color w:val="0000FF"/>
          </w:rPr>
          <w:t>подпунктом 5.6(1)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18, ст. 2892), приказываю:</w:t>
      </w:r>
    </w:p>
    <w:p w:rsidR="003F777D" w:rsidRDefault="003F777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Минприроды России от 22.04.2021 N 278)</w:t>
      </w:r>
    </w:p>
    <w:p w:rsidR="003F777D" w:rsidRDefault="003F777D">
      <w:pPr>
        <w:pStyle w:val="ConsPlusNormal"/>
        <w:spacing w:before="280"/>
        <w:ind w:firstLine="540"/>
        <w:jc w:val="both"/>
      </w:pPr>
      <w:r>
        <w:t xml:space="preserve">установить ограничения любительской и спортивной охоты в отношении охотничьих ресурсов, находящихся в полувольных условиях и искусственно созданной среде обитания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3F777D" w:rsidRDefault="003F777D">
      <w:pPr>
        <w:pStyle w:val="ConsPlusNormal"/>
        <w:jc w:val="both"/>
      </w:pPr>
    </w:p>
    <w:p w:rsidR="003F777D" w:rsidRDefault="003F777D">
      <w:pPr>
        <w:pStyle w:val="ConsPlusNormal"/>
        <w:jc w:val="right"/>
      </w:pPr>
      <w:r>
        <w:t>Министр</w:t>
      </w:r>
    </w:p>
    <w:p w:rsidR="003F777D" w:rsidRDefault="003F777D">
      <w:pPr>
        <w:pStyle w:val="ConsPlusNormal"/>
        <w:jc w:val="right"/>
      </w:pPr>
      <w:r>
        <w:t>Д.Н.КОБЫЛКИН</w:t>
      </w:r>
    </w:p>
    <w:p w:rsidR="003F777D" w:rsidRDefault="003F777D">
      <w:pPr>
        <w:pStyle w:val="ConsPlusNormal"/>
        <w:jc w:val="both"/>
      </w:pPr>
    </w:p>
    <w:p w:rsidR="003F777D" w:rsidRDefault="003F777D">
      <w:pPr>
        <w:pStyle w:val="ConsPlusNormal"/>
        <w:jc w:val="both"/>
      </w:pPr>
    </w:p>
    <w:p w:rsidR="003F777D" w:rsidRDefault="003F777D">
      <w:pPr>
        <w:pStyle w:val="ConsPlusNormal"/>
        <w:jc w:val="both"/>
      </w:pPr>
    </w:p>
    <w:p w:rsidR="003F777D" w:rsidRDefault="003F777D">
      <w:pPr>
        <w:pStyle w:val="ConsPlusNormal"/>
        <w:jc w:val="both"/>
      </w:pPr>
    </w:p>
    <w:p w:rsidR="003F777D" w:rsidRDefault="003F777D">
      <w:pPr>
        <w:pStyle w:val="ConsPlusNormal"/>
        <w:jc w:val="both"/>
      </w:pPr>
    </w:p>
    <w:p w:rsidR="003F777D" w:rsidRDefault="003F777D">
      <w:pPr>
        <w:pStyle w:val="ConsPlusNormal"/>
        <w:jc w:val="right"/>
        <w:outlineLvl w:val="0"/>
      </w:pPr>
      <w:r>
        <w:t>Приложение</w:t>
      </w:r>
    </w:p>
    <w:p w:rsidR="003F777D" w:rsidRDefault="003F777D">
      <w:pPr>
        <w:pStyle w:val="ConsPlusNormal"/>
        <w:jc w:val="right"/>
      </w:pPr>
      <w:r>
        <w:lastRenderedPageBreak/>
        <w:t>к приказу Минприроды России</w:t>
      </w:r>
    </w:p>
    <w:p w:rsidR="003F777D" w:rsidRDefault="003F777D">
      <w:pPr>
        <w:pStyle w:val="ConsPlusNormal"/>
        <w:jc w:val="right"/>
      </w:pPr>
      <w:r>
        <w:t>от 30 июня 2020 г. N 403</w:t>
      </w:r>
    </w:p>
    <w:p w:rsidR="003F777D" w:rsidRDefault="003F777D">
      <w:pPr>
        <w:pStyle w:val="ConsPlusNormal"/>
        <w:jc w:val="both"/>
      </w:pPr>
    </w:p>
    <w:p w:rsidR="003F777D" w:rsidRDefault="003F777D">
      <w:pPr>
        <w:pStyle w:val="ConsPlusTitle"/>
        <w:jc w:val="center"/>
      </w:pPr>
      <w:bookmarkStart w:id="0" w:name="P32"/>
      <w:bookmarkEnd w:id="0"/>
      <w:r>
        <w:t>ОГРАНИЧЕНИЯ</w:t>
      </w:r>
    </w:p>
    <w:p w:rsidR="003F777D" w:rsidRDefault="003F777D">
      <w:pPr>
        <w:pStyle w:val="ConsPlusTitle"/>
        <w:jc w:val="center"/>
      </w:pPr>
      <w:r>
        <w:t xml:space="preserve">ЛЮБИТЕЛЬСКОЙ И СПОРТИВНОЙ ОХОТЫ В ОТНОШЕНИИ </w:t>
      </w:r>
      <w:proofErr w:type="gramStart"/>
      <w:r>
        <w:t>ОХОТНИЧЬИХ</w:t>
      </w:r>
      <w:proofErr w:type="gramEnd"/>
    </w:p>
    <w:p w:rsidR="003F777D" w:rsidRDefault="003F777D">
      <w:pPr>
        <w:pStyle w:val="ConsPlusTitle"/>
        <w:jc w:val="center"/>
      </w:pPr>
      <w:r>
        <w:t>РЕСУРСОВ, НАХОДЯЩИХСЯ В ПОЛУВОЛЬНЫХ УСЛОВИЯХ</w:t>
      </w:r>
    </w:p>
    <w:p w:rsidR="003F777D" w:rsidRDefault="003F777D">
      <w:pPr>
        <w:pStyle w:val="ConsPlusTitle"/>
        <w:jc w:val="center"/>
      </w:pPr>
      <w:r>
        <w:t>И ИСКУССТВЕННО СОЗДАННОЙ СРЕДЕ ОБИТАНИЯ</w:t>
      </w:r>
    </w:p>
    <w:p w:rsidR="003F777D" w:rsidRDefault="003F777D">
      <w:pPr>
        <w:pStyle w:val="ConsPlusNormal"/>
        <w:jc w:val="both"/>
      </w:pPr>
    </w:p>
    <w:p w:rsidR="003F777D" w:rsidRDefault="003F777D">
      <w:pPr>
        <w:pStyle w:val="ConsPlusNormal"/>
        <w:ind w:firstLine="540"/>
        <w:jc w:val="both"/>
      </w:pPr>
      <w:r>
        <w:t>1. При осуществлении охоты запрещается:</w:t>
      </w:r>
    </w:p>
    <w:p w:rsidR="003F777D" w:rsidRDefault="003F777D">
      <w:pPr>
        <w:pStyle w:val="ConsPlusNormal"/>
        <w:spacing w:before="280"/>
        <w:ind w:firstLine="540"/>
        <w:jc w:val="both"/>
      </w:pPr>
      <w:r>
        <w:t>1.1. Добыча охотничьих ресурсов с применением орудий охоты и способов охоты, не соответствующих требованиям гуманности и не предотвращающих жестокое обращение с охотничьими ресурсами (далее - охотничьи животные).</w:t>
      </w:r>
    </w:p>
    <w:p w:rsidR="003F777D" w:rsidRDefault="003F777D">
      <w:pPr>
        <w:pStyle w:val="ConsPlusNormal"/>
        <w:spacing w:before="280"/>
        <w:ind w:firstLine="540"/>
        <w:jc w:val="both"/>
      </w:pPr>
      <w:r>
        <w:t>1.2. Использование для привлечения охотничьих животных других живых животных с признаками увечья или ранений.</w:t>
      </w:r>
    </w:p>
    <w:p w:rsidR="003F777D" w:rsidRDefault="003F777D">
      <w:pPr>
        <w:pStyle w:val="ConsPlusNormal"/>
        <w:spacing w:before="280"/>
        <w:ind w:firstLine="540"/>
        <w:jc w:val="both"/>
      </w:pPr>
      <w:r>
        <w:t xml:space="preserve">1.3. Использование ловчих птиц при отсутствии разрешения на содержание и разведение в полувольных условиях или искусственно созданной среде обитания в соответствии со </w:t>
      </w:r>
      <w:hyperlink r:id="rId10" w:history="1">
        <w:r>
          <w:rPr>
            <w:color w:val="0000FF"/>
          </w:rPr>
          <w:t>статьей 26</w:t>
        </w:r>
      </w:hyperlink>
      <w:r>
        <w:t xml:space="preserve"> Федерального закона от 24 апреля 1995 г. N 52-ФЗ "О животном мире" (Собрание законодательства Российской Федерации, 1995, N 17, ст. 1462; 2020, N 17, ст. 2725).</w:t>
      </w:r>
    </w:p>
    <w:p w:rsidR="003F777D" w:rsidRDefault="003F777D">
      <w:pPr>
        <w:pStyle w:val="ConsPlusNormal"/>
        <w:spacing w:before="280"/>
        <w:ind w:firstLine="540"/>
        <w:jc w:val="both"/>
      </w:pPr>
      <w:r>
        <w:t>1.4. Организация загона охотничьих животных, при котором охотники движутся внутрь загона, окружая оказавшихся в загоне животных.</w:t>
      </w:r>
    </w:p>
    <w:p w:rsidR="003F777D" w:rsidRDefault="003F777D">
      <w:pPr>
        <w:pStyle w:val="ConsPlusNormal"/>
        <w:spacing w:before="280"/>
        <w:ind w:firstLine="540"/>
        <w:jc w:val="both"/>
      </w:pPr>
      <w:r>
        <w:t>1.5. Стрельба "на шум", "на шорох", по неясно видимой цели.</w:t>
      </w:r>
    </w:p>
    <w:p w:rsidR="003F777D" w:rsidRDefault="003F777D">
      <w:pPr>
        <w:pStyle w:val="ConsPlusNormal"/>
        <w:spacing w:before="280"/>
        <w:ind w:firstLine="540"/>
        <w:jc w:val="both"/>
      </w:pPr>
      <w:r>
        <w:t>1.6. Стрельба вдоль линии стрелков (когда снаряд может пройти ближе, чем 15 метров от соседнего стрелка).</w:t>
      </w:r>
    </w:p>
    <w:p w:rsidR="003F777D" w:rsidRDefault="003F777D">
      <w:pPr>
        <w:pStyle w:val="ConsPlusNormal"/>
        <w:spacing w:before="280"/>
        <w:ind w:firstLine="540"/>
        <w:jc w:val="both"/>
      </w:pPr>
      <w:r>
        <w:t>1.7. Стрельба по взлетающей птице ниже 2,5 метров при осуществлении охоты в зарослях, кустах или ограниченном обзоре местности.</w:t>
      </w:r>
    </w:p>
    <w:p w:rsidR="003F777D" w:rsidRDefault="003F777D">
      <w:pPr>
        <w:pStyle w:val="ConsPlusNormal"/>
        <w:spacing w:before="280"/>
        <w:ind w:firstLine="540"/>
        <w:jc w:val="both"/>
      </w:pPr>
      <w:r>
        <w:t>1.8. Самовольное перемещение с места стрелковой позиции, подход к упавшему, добытому, раненому охотничьему животному до окончания загона, при осуществлении совместных действий по поиску, выслеживанию, преследованию и добыче охотничьих животных двумя и более охотниками.</w:t>
      </w:r>
    </w:p>
    <w:p w:rsidR="003F777D" w:rsidRDefault="003F777D">
      <w:pPr>
        <w:pStyle w:val="ConsPlusNormal"/>
        <w:spacing w:before="280"/>
        <w:ind w:firstLine="540"/>
        <w:jc w:val="both"/>
      </w:pPr>
      <w:r>
        <w:t>1.9. Охота с неисправным охотничьим оружием.</w:t>
      </w:r>
    </w:p>
    <w:p w:rsidR="003F777D" w:rsidRDefault="003F777D">
      <w:pPr>
        <w:pStyle w:val="ConsPlusNormal"/>
        <w:spacing w:before="280"/>
        <w:ind w:firstLine="540"/>
        <w:jc w:val="both"/>
      </w:pPr>
      <w:r>
        <w:t>1.10. Направление заряженного охотничьего оружия в сторону других физических лиц.</w:t>
      </w:r>
    </w:p>
    <w:p w:rsidR="003F777D" w:rsidRDefault="003F777D">
      <w:pPr>
        <w:pStyle w:val="ConsPlusNormal"/>
        <w:spacing w:before="280"/>
        <w:ind w:firstLine="540"/>
        <w:jc w:val="both"/>
      </w:pPr>
      <w:r>
        <w:lastRenderedPageBreak/>
        <w:t xml:space="preserve">2. При осуществлении совместных действий двух и более лиц по поиску, выслеживанию, преследованию и добыче охотничьих животных все лица, участвующие в охоте, обязаны носить специальную сигнальную одежду повышенной видимости красного, желтого или оранжевого цвета, соответствующую требованиям </w:t>
      </w:r>
      <w:hyperlink r:id="rId11" w:history="1">
        <w:r>
          <w:rPr>
            <w:color w:val="0000FF"/>
          </w:rPr>
          <w:t>подпунктов "б"</w:t>
        </w:r>
      </w:hyperlink>
      <w:r>
        <w:t xml:space="preserve">, </w:t>
      </w:r>
      <w:hyperlink r:id="rId12" w:history="1">
        <w:r>
          <w:rPr>
            <w:color w:val="0000FF"/>
          </w:rPr>
          <w:t>"в"</w:t>
        </w:r>
      </w:hyperlink>
      <w:r>
        <w:t xml:space="preserve">, </w:t>
      </w:r>
      <w:hyperlink r:id="rId13" w:history="1">
        <w:r>
          <w:rPr>
            <w:color w:val="0000FF"/>
          </w:rPr>
          <w:t>"г" пункта 4.2.3 подраздела 4.2 раздела 4</w:t>
        </w:r>
      </w:hyperlink>
      <w:r>
        <w:t xml:space="preserve"> ГОСТа 12.4.281-2014 "Межгосударственный стандарт. Система стандартов безопасности труда. Одежда специальная повышенной видимости. Технические требования", введенного в действие </w:t>
      </w:r>
      <w:hyperlink r:id="rId14" w:history="1">
        <w:r>
          <w:rPr>
            <w:color w:val="0000FF"/>
          </w:rPr>
          <w:t>приказом</w:t>
        </w:r>
      </w:hyperlink>
      <w:r>
        <w:t xml:space="preserve"> Росстандарта от 26 ноября 2014 г. N 1813-ст (М.: Стандартинформ, 2015).</w:t>
      </w:r>
    </w:p>
    <w:p w:rsidR="003F777D" w:rsidRDefault="003F777D">
      <w:pPr>
        <w:pStyle w:val="ConsPlusNormal"/>
        <w:jc w:val="both"/>
      </w:pPr>
    </w:p>
    <w:p w:rsidR="003F777D" w:rsidRDefault="003F777D">
      <w:pPr>
        <w:pStyle w:val="ConsPlusNormal"/>
        <w:jc w:val="both"/>
      </w:pPr>
    </w:p>
    <w:p w:rsidR="003F777D" w:rsidRDefault="003F77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E0" w:rsidRDefault="007922E0">
      <w:bookmarkStart w:id="1" w:name="_GoBack"/>
      <w:bookmarkEnd w:id="1"/>
    </w:p>
    <w:sectPr w:rsidR="007922E0" w:rsidSect="00B7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7D"/>
    <w:rsid w:val="003F777D"/>
    <w:rsid w:val="0040139A"/>
    <w:rsid w:val="0079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77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F777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F777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77D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F777D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F777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C3B63C62EF4064B527105D1CDF95F646D42519D0CE0252DD6C227CF2EC56B48DF3927BDCC8316B9C2F6B79BCDC19A09DF34D3V54ED" TargetMode="External"/><Relationship Id="rId13" Type="http://schemas.openxmlformats.org/officeDocument/2006/relationships/hyperlink" Target="consultantplus://offline/ref=6F8C3B63C62EF4064B527210C8CDF95F6664435F9C05BD2F258FCE25C8219A7C4F963520BFC6D744F6C3AAF1CEDEC39B09DD35CF5E3E5BV34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8C3B63C62EF4064B527105D1CDF95F646C465C990EE0252DD6C227CF2EC56B48DF3921BACFDC13ACD3AEB899D3DF9B16C336D15EV34CD" TargetMode="External"/><Relationship Id="rId12" Type="http://schemas.openxmlformats.org/officeDocument/2006/relationships/hyperlink" Target="consultantplus://offline/ref=6F8C3B63C62EF4064B527210C8CDF95F6664435F9C05BD2F258FCE25C8219A7C4F963520BFC6D746F6C3AAF1CEDEC39B09DD35CF5E3E5BV348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C3B63C62EF4064B527105D1CDF95F646C495A9D06E0252DD6C227CF2EC56B48DF3921BFC7D747FB9CAFE4DF86CC9917C334D0423C5938V748D" TargetMode="External"/><Relationship Id="rId11" Type="http://schemas.openxmlformats.org/officeDocument/2006/relationships/hyperlink" Target="consultantplus://offline/ref=6F8C3B63C62EF4064B527210C8CDF95F6664435F9C05BD2F258FCE25C8219A7C4F963520BFC7DE4EF6C3AAF1CEDEC39B09DD35CF5E3E5BV348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8C3B63C62EF4064B527105D1CDF95F646340509D0EE0252DD6C227CF2EC56B48DF3921BFC7D64FFE9CAFE4DF86CC9917C334D0423C5938V74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C3B63C62EF4064B527105D1CDF95F646C495A9D06E0252DD6C227CF2EC56B48DF3921BFC7D747FB9CAFE4DF86CC9917C334D0423C5938V748D" TargetMode="External"/><Relationship Id="rId14" Type="http://schemas.openxmlformats.org/officeDocument/2006/relationships/hyperlink" Target="consultantplus://offline/ref=6F8C3B63C62EF4064B527105D1CDF95F656340599E06E0252DD6C227CF2EC56B5ADF612DBDC7C947FC89F9B599VD4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Сельвесюк Ольга Сергеевна</dc:creator>
  <cp:lastModifiedBy>Сельвесюк Ольга Сергеевна</cp:lastModifiedBy>
  <cp:revision>1</cp:revision>
  <dcterms:created xsi:type="dcterms:W3CDTF">2022-01-20T03:56:00Z</dcterms:created>
  <dcterms:modified xsi:type="dcterms:W3CDTF">2022-01-20T03:56:00Z</dcterms:modified>
</cp:coreProperties>
</file>