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0" w:rsidRPr="002D450A" w:rsidRDefault="00D75320" w:rsidP="00D75320">
      <w:pPr>
        <w:autoSpaceDE w:val="0"/>
        <w:autoSpaceDN w:val="0"/>
        <w:jc w:val="right"/>
        <w:rPr>
          <w:sz w:val="28"/>
          <w:szCs w:val="26"/>
          <w:lang w:eastAsia="ru-RU"/>
        </w:rPr>
      </w:pPr>
      <w:r w:rsidRPr="002D450A">
        <w:rPr>
          <w:sz w:val="28"/>
          <w:szCs w:val="26"/>
          <w:lang w:eastAsia="ru-RU"/>
        </w:rPr>
        <w:t>Приложение 1</w:t>
      </w:r>
    </w:p>
    <w:p w:rsidR="00D75320" w:rsidRPr="00DB16BB" w:rsidRDefault="00D75320" w:rsidP="00D75320">
      <w:pPr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75320" w:rsidRPr="002D450A" w:rsidRDefault="00D75320" w:rsidP="00C423EC">
      <w:pPr>
        <w:jc w:val="center"/>
        <w:rPr>
          <w:rFonts w:eastAsia="Calibri"/>
          <w:sz w:val="28"/>
          <w:szCs w:val="26"/>
        </w:rPr>
      </w:pPr>
      <w:r w:rsidRPr="002D450A">
        <w:rPr>
          <w:rFonts w:eastAsia="Calibri"/>
          <w:sz w:val="28"/>
          <w:szCs w:val="26"/>
        </w:rPr>
        <w:t>Информация</w:t>
      </w:r>
      <w:r w:rsidRPr="002D450A">
        <w:rPr>
          <w:rFonts w:eastAsia="Calibri"/>
          <w:sz w:val="28"/>
          <w:szCs w:val="26"/>
        </w:rPr>
        <w:br/>
        <w:t xml:space="preserve"> об опубликованных на официальном сайте Минприроды России </w:t>
      </w:r>
      <w:r w:rsidRPr="002D450A">
        <w:rPr>
          <w:rFonts w:eastAsia="Calibri"/>
          <w:sz w:val="28"/>
          <w:szCs w:val="26"/>
        </w:rPr>
        <w:br/>
        <w:t xml:space="preserve">методиках учета охотничьих ресурсов </w:t>
      </w:r>
      <w:r w:rsidRPr="002D450A">
        <w:rPr>
          <w:rFonts w:eastAsia="Calibri"/>
          <w:sz w:val="28"/>
          <w:szCs w:val="26"/>
        </w:rPr>
        <w:br/>
        <w:t>по состоянию на 16.11.2022</w:t>
      </w:r>
    </w:p>
    <w:p w:rsidR="00D75320" w:rsidRPr="00DB16BB" w:rsidRDefault="00D75320" w:rsidP="00D75320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Style w:val="a5"/>
        <w:tblW w:w="9595" w:type="dxa"/>
        <w:tblLook w:val="04A0" w:firstRow="1" w:lastRow="0" w:firstColumn="1" w:lastColumn="0" w:noHBand="0" w:noVBand="1"/>
      </w:tblPr>
      <w:tblGrid>
        <w:gridCol w:w="540"/>
        <w:gridCol w:w="2829"/>
        <w:gridCol w:w="2693"/>
        <w:gridCol w:w="1967"/>
        <w:gridCol w:w="1566"/>
      </w:tblGrid>
      <w:tr w:rsidR="00D75320" w:rsidRPr="002D450A" w:rsidTr="00EA54D2">
        <w:trPr>
          <w:trHeight w:val="1805"/>
        </w:trPr>
        <w:tc>
          <w:tcPr>
            <w:tcW w:w="540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Наименование методики учета</w:t>
            </w:r>
          </w:p>
        </w:tc>
        <w:tc>
          <w:tcPr>
            <w:tcW w:w="2693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Виды охотничьих ресурсов, для учета которых может применяться методика на территории Красноярского края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Сроки полевых работ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Ограничения по площади исследуемых территорий </w:t>
            </w:r>
          </w:p>
        </w:tc>
      </w:tr>
      <w:tr w:rsidR="00D75320" w:rsidRPr="002D450A" w:rsidTr="00EA54D2">
        <w:tc>
          <w:tcPr>
            <w:tcW w:w="540" w:type="dxa"/>
          </w:tcPr>
          <w:p w:rsidR="00D75320" w:rsidRPr="002D450A" w:rsidRDefault="00D75320" w:rsidP="00EA54D2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5320" w:rsidRPr="002D450A" w:rsidRDefault="00D75320" w:rsidP="00EA54D2">
            <w:pPr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Методика учета численности охотничьих ресурсов методом зимнего маршрутного учета, утвержденная приказом ФГБУ «ФНИЦ Охота» от 14.11.2022 </w:t>
            </w:r>
            <w:r w:rsidRPr="002D450A">
              <w:rPr>
                <w:rFonts w:eastAsia="Calibri"/>
                <w:sz w:val="24"/>
                <w:szCs w:val="24"/>
              </w:rPr>
              <w:br/>
              <w:t>№ 74</w:t>
            </w:r>
          </w:p>
        </w:tc>
        <w:tc>
          <w:tcPr>
            <w:tcW w:w="2693" w:type="dxa"/>
          </w:tcPr>
          <w:p w:rsidR="00D75320" w:rsidRPr="002D450A" w:rsidRDefault="00D75320" w:rsidP="002D450A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Лось, сибирская косуля, благородный олень, дикий северный олень лесной популяции, кабарга, рысь, кабан, волк, лисица, хорь степной, росомаха, горностай, колонок, белка, заяц беляк, заяц русак, соболь, рябчик, тетерев, глухарь, куропатк</w:t>
            </w:r>
            <w:r w:rsidR="002D450A" w:rsidRPr="002D450A">
              <w:rPr>
                <w:rFonts w:eastAsia="Calibri"/>
                <w:sz w:val="24"/>
                <w:szCs w:val="24"/>
              </w:rPr>
              <w:t>и (</w:t>
            </w:r>
            <w:r w:rsidRPr="002D450A">
              <w:rPr>
                <w:rFonts w:eastAsia="Calibri"/>
                <w:sz w:val="24"/>
                <w:szCs w:val="24"/>
              </w:rPr>
              <w:t>белая, бородатая, тундряная</w:t>
            </w:r>
            <w:r w:rsidR="002D450A" w:rsidRPr="002D450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С 15 января </w:t>
            </w:r>
            <w:r w:rsidRPr="002D450A">
              <w:rPr>
                <w:rFonts w:eastAsia="Calibri"/>
                <w:sz w:val="24"/>
                <w:szCs w:val="24"/>
              </w:rPr>
              <w:br/>
              <w:t>по 15 марта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Не менее </w:t>
            </w:r>
            <w:r w:rsidRPr="002D450A">
              <w:rPr>
                <w:rFonts w:eastAsia="Calibri"/>
                <w:sz w:val="24"/>
                <w:szCs w:val="24"/>
              </w:rPr>
              <w:br/>
              <w:t>8 тыс. га</w:t>
            </w:r>
            <w:bookmarkStart w:id="0" w:name="_GoBack"/>
            <w:bookmarkEnd w:id="0"/>
          </w:p>
        </w:tc>
      </w:tr>
      <w:tr w:rsidR="00D75320" w:rsidRPr="002D450A" w:rsidTr="00EA54D2">
        <w:tc>
          <w:tcPr>
            <w:tcW w:w="540" w:type="dxa"/>
          </w:tcPr>
          <w:p w:rsidR="00D75320" w:rsidRPr="002D450A" w:rsidRDefault="00D75320" w:rsidP="00EA54D2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5320" w:rsidRPr="002D450A" w:rsidRDefault="00D75320" w:rsidP="00EA54D2">
            <w:pPr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Методика учета численности охотничьих ресурсов методом шумового прогона, утвержденная приказом ФГБУ «ФНИЦ Охота» от 14.11.2022 № 74</w:t>
            </w:r>
          </w:p>
        </w:tc>
        <w:tc>
          <w:tcPr>
            <w:tcW w:w="2693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Лось, косуля сибирская, благородный олень, кабан, лисица, заяц беляк, заяц русак, волк, глухарь, тетерев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С 15 января </w:t>
            </w:r>
            <w:r w:rsidRPr="002D450A">
              <w:rPr>
                <w:rFonts w:eastAsia="Calibri"/>
                <w:sz w:val="24"/>
                <w:szCs w:val="24"/>
              </w:rPr>
              <w:br/>
              <w:t>по 15 марта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D75320" w:rsidRPr="002D450A" w:rsidTr="00EA54D2">
        <w:tc>
          <w:tcPr>
            <w:tcW w:w="540" w:type="dxa"/>
          </w:tcPr>
          <w:p w:rsidR="00D75320" w:rsidRPr="002D450A" w:rsidRDefault="00D75320" w:rsidP="00EA54D2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5320" w:rsidRPr="002D450A" w:rsidRDefault="00D75320" w:rsidP="00EA54D2">
            <w:pPr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Методика учета численности охотничьих ресурсов в местах искусственных концентраций</w:t>
            </w:r>
            <w:r w:rsidR="002D450A" w:rsidRPr="002D450A">
              <w:rPr>
                <w:rFonts w:eastAsia="Calibri"/>
                <w:sz w:val="24"/>
                <w:szCs w:val="24"/>
              </w:rPr>
              <w:t xml:space="preserve">, утвержденная приказом ФГБУ «ФНИЦ Охота» от 14.11.2022 </w:t>
            </w:r>
            <w:r w:rsidR="002D450A" w:rsidRPr="002D450A">
              <w:rPr>
                <w:rFonts w:eastAsia="Calibri"/>
                <w:sz w:val="24"/>
                <w:szCs w:val="24"/>
              </w:rPr>
              <w:br/>
              <w:t>№ 74</w:t>
            </w:r>
          </w:p>
        </w:tc>
        <w:tc>
          <w:tcPr>
            <w:tcW w:w="2693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Кабан, благородный олень, косуля сибирская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В течение трех дней подряд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в период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с 15 января </w:t>
            </w:r>
            <w:r w:rsidRPr="002D450A">
              <w:rPr>
                <w:rFonts w:eastAsia="Calibri"/>
                <w:sz w:val="24"/>
                <w:szCs w:val="24"/>
              </w:rPr>
              <w:br/>
              <w:t>по 15 марта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</w:tr>
      <w:tr w:rsidR="00D75320" w:rsidRPr="002D450A" w:rsidTr="00EA54D2">
        <w:trPr>
          <w:trHeight w:val="159"/>
        </w:trPr>
        <w:tc>
          <w:tcPr>
            <w:tcW w:w="540" w:type="dxa"/>
          </w:tcPr>
          <w:p w:rsidR="00D75320" w:rsidRPr="002D450A" w:rsidRDefault="00D75320" w:rsidP="00EA54D2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5320" w:rsidRPr="002D450A" w:rsidRDefault="00D75320" w:rsidP="00EA54D2">
            <w:pPr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Методика учета численности охотничьих ресурсов методом авиаучета, утвержденная приказом ФГБУ «ФНИЦ Охота» от 14.11.2022 </w:t>
            </w:r>
            <w:r w:rsidRPr="002D450A">
              <w:rPr>
                <w:rFonts w:eastAsia="Calibri"/>
                <w:sz w:val="24"/>
                <w:szCs w:val="24"/>
              </w:rPr>
              <w:br/>
              <w:t>№ 74</w:t>
            </w:r>
          </w:p>
        </w:tc>
        <w:tc>
          <w:tcPr>
            <w:tcW w:w="2693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Лось, косуля сибирская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В максимально сжатые сроки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в период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с 15 января </w:t>
            </w:r>
            <w:r w:rsidRPr="002D450A">
              <w:rPr>
                <w:rFonts w:eastAsia="Calibri"/>
                <w:sz w:val="24"/>
                <w:szCs w:val="24"/>
              </w:rPr>
              <w:br/>
              <w:t>по 15 марта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>Нет</w:t>
            </w:r>
          </w:p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5320" w:rsidRPr="002D450A" w:rsidTr="00EA54D2">
        <w:tc>
          <w:tcPr>
            <w:tcW w:w="540" w:type="dxa"/>
          </w:tcPr>
          <w:p w:rsidR="00D75320" w:rsidRPr="002D450A" w:rsidRDefault="00D75320" w:rsidP="00EA54D2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5320" w:rsidRPr="002D450A" w:rsidRDefault="00D75320" w:rsidP="00EA54D2">
            <w:pPr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Методика учета численности кабана в местах концентрации (на подкормочных площадках, кормовых полях, а также в иных </w:t>
            </w:r>
            <w:r w:rsidRPr="002D450A">
              <w:rPr>
                <w:rFonts w:eastAsia="Calibri"/>
                <w:sz w:val="24"/>
                <w:szCs w:val="24"/>
              </w:rPr>
              <w:lastRenderedPageBreak/>
              <w:t>местах концентрации) при угрозе возникновения и распространения заразных, в том числе особо опасных, болезней животных, утвержденная приказом ФГБУ «ФЦРОХ» от 16.08.2022 № 53</w:t>
            </w:r>
          </w:p>
        </w:tc>
        <w:tc>
          <w:tcPr>
            <w:tcW w:w="2693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lastRenderedPageBreak/>
              <w:t xml:space="preserve">Кабан </w:t>
            </w:r>
          </w:p>
        </w:tc>
        <w:tc>
          <w:tcPr>
            <w:tcW w:w="1967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t xml:space="preserve">От 1 до 3 дней подряд в период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с 16 марта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по 14 января </w:t>
            </w:r>
            <w:r w:rsidRPr="002D450A">
              <w:rPr>
                <w:rFonts w:eastAsia="Calibri"/>
                <w:sz w:val="24"/>
                <w:szCs w:val="24"/>
              </w:rPr>
              <w:br/>
              <w:t xml:space="preserve">при угрозе возникновения и </w:t>
            </w:r>
            <w:r w:rsidRPr="002D450A">
              <w:rPr>
                <w:rFonts w:eastAsia="Calibri"/>
                <w:sz w:val="24"/>
                <w:szCs w:val="24"/>
              </w:rPr>
              <w:lastRenderedPageBreak/>
              <w:t>распространения заразных, в том числе особо опасных, болезней животных</w:t>
            </w:r>
          </w:p>
        </w:tc>
        <w:tc>
          <w:tcPr>
            <w:tcW w:w="1566" w:type="dxa"/>
          </w:tcPr>
          <w:p w:rsidR="00D75320" w:rsidRPr="002D450A" w:rsidRDefault="00D75320" w:rsidP="00EA54D2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50A">
              <w:rPr>
                <w:rFonts w:eastAsia="Calibri"/>
                <w:sz w:val="24"/>
                <w:szCs w:val="24"/>
              </w:rPr>
              <w:lastRenderedPageBreak/>
              <w:t xml:space="preserve">Нет </w:t>
            </w:r>
          </w:p>
        </w:tc>
      </w:tr>
    </w:tbl>
    <w:p w:rsidR="00D75320" w:rsidRDefault="00D75320" w:rsidP="00D75320">
      <w:pPr>
        <w:ind w:firstLine="720"/>
        <w:jc w:val="both"/>
        <w:rPr>
          <w:rFonts w:eastAsia="Calibri"/>
          <w:sz w:val="28"/>
          <w:szCs w:val="28"/>
        </w:rPr>
      </w:pPr>
    </w:p>
    <w:p w:rsidR="00DB16BB" w:rsidRDefault="00DB16BB" w:rsidP="00D75320">
      <w:pPr>
        <w:autoSpaceDE w:val="0"/>
        <w:autoSpaceDN w:val="0"/>
        <w:jc w:val="both"/>
        <w:rPr>
          <w:lang w:eastAsia="ru-RU"/>
        </w:rPr>
      </w:pPr>
    </w:p>
    <w:p w:rsidR="00DB16BB" w:rsidRDefault="00DB16BB" w:rsidP="00D75320">
      <w:pPr>
        <w:autoSpaceDE w:val="0"/>
        <w:autoSpaceDN w:val="0"/>
        <w:jc w:val="both"/>
        <w:rPr>
          <w:lang w:eastAsia="ru-RU"/>
        </w:rPr>
      </w:pPr>
    </w:p>
    <w:p w:rsidR="00DB16BB" w:rsidRDefault="00DB16BB" w:rsidP="00D75320">
      <w:pPr>
        <w:autoSpaceDE w:val="0"/>
        <w:autoSpaceDN w:val="0"/>
        <w:jc w:val="both"/>
        <w:rPr>
          <w:lang w:eastAsia="ru-RU"/>
        </w:rPr>
      </w:pPr>
    </w:p>
    <w:p w:rsidR="00D75320" w:rsidRDefault="00D75320" w:rsidP="00D75320">
      <w:pPr>
        <w:autoSpaceDE w:val="0"/>
        <w:autoSpaceDN w:val="0"/>
        <w:jc w:val="both"/>
        <w:rPr>
          <w:lang w:eastAsia="ru-RU"/>
        </w:rPr>
      </w:pPr>
    </w:p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A120CD" w:rsidRDefault="00A120CD"/>
    <w:p w:rsidR="00D87609" w:rsidRDefault="00D87609"/>
    <w:sectPr w:rsidR="00D87609" w:rsidSect="00D753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E04"/>
    <w:multiLevelType w:val="hybridMultilevel"/>
    <w:tmpl w:val="29C0EF0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3CC3E3C"/>
    <w:multiLevelType w:val="hybridMultilevel"/>
    <w:tmpl w:val="604C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45A08"/>
    <w:multiLevelType w:val="hybridMultilevel"/>
    <w:tmpl w:val="F7369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9B"/>
    <w:rsid w:val="00056AF3"/>
    <w:rsid w:val="00061788"/>
    <w:rsid w:val="00151957"/>
    <w:rsid w:val="001A4E00"/>
    <w:rsid w:val="001A58BD"/>
    <w:rsid w:val="002061A8"/>
    <w:rsid w:val="002D450A"/>
    <w:rsid w:val="003B6AC2"/>
    <w:rsid w:val="00467B09"/>
    <w:rsid w:val="00483CCF"/>
    <w:rsid w:val="005D4124"/>
    <w:rsid w:val="006B5724"/>
    <w:rsid w:val="00707658"/>
    <w:rsid w:val="00732B79"/>
    <w:rsid w:val="0088381B"/>
    <w:rsid w:val="008D476E"/>
    <w:rsid w:val="008E5019"/>
    <w:rsid w:val="0093699B"/>
    <w:rsid w:val="009D7812"/>
    <w:rsid w:val="00A01137"/>
    <w:rsid w:val="00A120CD"/>
    <w:rsid w:val="00A70585"/>
    <w:rsid w:val="00AE2264"/>
    <w:rsid w:val="00B4076D"/>
    <w:rsid w:val="00C423EC"/>
    <w:rsid w:val="00CC2DE6"/>
    <w:rsid w:val="00D27E6D"/>
    <w:rsid w:val="00D75320"/>
    <w:rsid w:val="00D87609"/>
    <w:rsid w:val="00DB16BB"/>
    <w:rsid w:val="00E10BC0"/>
    <w:rsid w:val="00E22129"/>
    <w:rsid w:val="00E22AC6"/>
    <w:rsid w:val="00E406AE"/>
    <w:rsid w:val="00E70B10"/>
    <w:rsid w:val="00E87F5C"/>
    <w:rsid w:val="00EF7F59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EE8E-D461-4D33-86E5-163B73A7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jc w:val="center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D7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3</cp:revision>
  <dcterms:created xsi:type="dcterms:W3CDTF">2022-11-18T04:05:00Z</dcterms:created>
  <dcterms:modified xsi:type="dcterms:W3CDTF">2022-11-21T03:13:00Z</dcterms:modified>
</cp:coreProperties>
</file>