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E" w:rsidRDefault="00DF33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332E" w:rsidRDefault="00DF332E">
      <w:pPr>
        <w:pStyle w:val="ConsPlusNormal"/>
        <w:jc w:val="both"/>
        <w:outlineLvl w:val="0"/>
      </w:pPr>
    </w:p>
    <w:p w:rsidR="00DF332E" w:rsidRDefault="00DF332E">
      <w:pPr>
        <w:pStyle w:val="ConsPlusNormal"/>
        <w:outlineLvl w:val="0"/>
      </w:pPr>
      <w:r>
        <w:t>Зарегистрировано в Минюсте России 4 мая 2011 г. N 20646</w:t>
      </w:r>
    </w:p>
    <w:p w:rsidR="00DF332E" w:rsidRDefault="00DF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32E" w:rsidRDefault="00DF332E">
      <w:pPr>
        <w:pStyle w:val="ConsPlusNormal"/>
      </w:pPr>
    </w:p>
    <w:p w:rsidR="00DF332E" w:rsidRDefault="00DF332E">
      <w:pPr>
        <w:pStyle w:val="ConsPlusTitle"/>
        <w:jc w:val="center"/>
      </w:pPr>
      <w:r>
        <w:t>МИНИСТЕРСТВО ПРИРОДНЫХ РЕСУРСОВ И ЭКОЛОГИИ</w:t>
      </w:r>
    </w:p>
    <w:p w:rsidR="00DF332E" w:rsidRDefault="00DF332E">
      <w:pPr>
        <w:pStyle w:val="ConsPlusTitle"/>
        <w:jc w:val="center"/>
      </w:pPr>
      <w:r>
        <w:t>РОССИЙСКОЙ ФЕДЕРАЦИИ</w:t>
      </w:r>
    </w:p>
    <w:p w:rsidR="00DF332E" w:rsidRDefault="00DF332E">
      <w:pPr>
        <w:pStyle w:val="ConsPlusTitle"/>
        <w:jc w:val="center"/>
      </w:pPr>
    </w:p>
    <w:p w:rsidR="00DF332E" w:rsidRDefault="00DF332E">
      <w:pPr>
        <w:pStyle w:val="ConsPlusTitle"/>
        <w:jc w:val="center"/>
      </w:pPr>
      <w:r>
        <w:t>ПРИКАЗ</w:t>
      </w:r>
    </w:p>
    <w:p w:rsidR="00DF332E" w:rsidRDefault="00DF332E">
      <w:pPr>
        <w:pStyle w:val="ConsPlusTitle"/>
        <w:jc w:val="center"/>
      </w:pPr>
      <w:r>
        <w:t>от 23 декабря 2010 г. N 559</w:t>
      </w:r>
    </w:p>
    <w:p w:rsidR="00DF332E" w:rsidRDefault="00DF332E">
      <w:pPr>
        <w:pStyle w:val="ConsPlusTitle"/>
        <w:jc w:val="center"/>
      </w:pPr>
    </w:p>
    <w:p w:rsidR="00DF332E" w:rsidRDefault="00DF332E">
      <w:pPr>
        <w:pStyle w:val="ConsPlusTitle"/>
        <w:jc w:val="center"/>
      </w:pPr>
      <w:r>
        <w:t>ОБ УТВЕРЖДЕНИИ ПОРЯДКА</w:t>
      </w:r>
    </w:p>
    <w:p w:rsidR="00DF332E" w:rsidRDefault="00DF332E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DF332E" w:rsidRDefault="00DF3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32E" w:rsidRDefault="00DF3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32E" w:rsidRDefault="00DF33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332E" w:rsidRDefault="00DF332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32</w:t>
        </w:r>
      </w:hyperlink>
      <w:r>
        <w:t xml:space="preserve"> и </w:t>
      </w:r>
      <w:hyperlink r:id="rId10" w:history="1">
        <w:r>
          <w:rPr>
            <w:color w:val="0000FF"/>
          </w:rPr>
          <w:t>39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11" w:history="1">
        <w:r>
          <w:rPr>
            <w:color w:val="0000FF"/>
          </w:rPr>
          <w:t>пунктом 5.2.51.8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</w:t>
      </w:r>
      <w:proofErr w:type="gramStart"/>
      <w:r>
        <w:t>внутрихозяйственного</w:t>
      </w:r>
      <w:proofErr w:type="gramEnd"/>
      <w:r>
        <w:t xml:space="preserve"> охотустройства.</w:t>
      </w: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jc w:val="right"/>
      </w:pPr>
      <w:r>
        <w:t>Министр</w:t>
      </w:r>
    </w:p>
    <w:p w:rsidR="00DF332E" w:rsidRDefault="00DF332E">
      <w:pPr>
        <w:pStyle w:val="ConsPlusNormal"/>
        <w:jc w:val="right"/>
      </w:pPr>
      <w:r>
        <w:t>Ю.П.ТРУТНЕВ</w:t>
      </w: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Normal"/>
        <w:jc w:val="right"/>
        <w:outlineLvl w:val="0"/>
      </w:pPr>
      <w:r>
        <w:t>Приложение</w:t>
      </w:r>
    </w:p>
    <w:p w:rsidR="00DF332E" w:rsidRDefault="00DF332E">
      <w:pPr>
        <w:pStyle w:val="ConsPlusNormal"/>
        <w:jc w:val="right"/>
      </w:pPr>
      <w:r>
        <w:t>к Приказу Минприроды России</w:t>
      </w:r>
    </w:p>
    <w:p w:rsidR="00DF332E" w:rsidRDefault="00DF332E">
      <w:pPr>
        <w:pStyle w:val="ConsPlusNormal"/>
        <w:jc w:val="right"/>
      </w:pPr>
      <w:r>
        <w:t>от 23 декабря 2010 г. N 559</w:t>
      </w:r>
    </w:p>
    <w:p w:rsidR="00DF332E" w:rsidRDefault="00DF332E">
      <w:pPr>
        <w:pStyle w:val="ConsPlusNormal"/>
        <w:jc w:val="right"/>
      </w:pPr>
    </w:p>
    <w:p w:rsidR="00DF332E" w:rsidRDefault="00DF332E">
      <w:pPr>
        <w:pStyle w:val="ConsPlusTitle"/>
        <w:jc w:val="center"/>
      </w:pPr>
      <w:bookmarkStart w:id="0" w:name="P30"/>
      <w:bookmarkEnd w:id="0"/>
      <w:r>
        <w:t>ПОРЯДОК</w:t>
      </w:r>
    </w:p>
    <w:p w:rsidR="00DF332E" w:rsidRDefault="00DF332E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DF332E" w:rsidRDefault="00DF33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3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32E" w:rsidRDefault="00DF33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32E" w:rsidRDefault="00DF33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12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1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332E" w:rsidRDefault="00DF332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DF332E" w:rsidRDefault="00DF332E">
      <w:pPr>
        <w:pStyle w:val="ConsPlusNormal"/>
        <w:jc w:val="center"/>
      </w:pPr>
    </w:p>
    <w:p w:rsidR="00DF332E" w:rsidRDefault="00DF33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</w:t>
      </w:r>
      <w:r>
        <w:lastRenderedPageBreak/>
        <w:t>Российской Федерации, 2009, N 30, ст. 3735; N 52, ст. 6441, ст. 6450; 2010, N 23, ст. 2793) (далее - Федеральный закон N 209-ФЗ).</w:t>
      </w:r>
      <w:proofErr w:type="gramEnd"/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Внутрихозяйственное охотустройство осуществляется в целях планирования в области охоты и сохранения охотничьих ресурсов и направлено на обеспечение осуществления физическими лицами и юридическими лицами видов деятельности в сфере охотничьего хозяйства &lt;*&gt;.</w:t>
      </w:r>
      <w:proofErr w:type="gramEnd"/>
    </w:p>
    <w:p w:rsidR="00DF332E" w:rsidRDefault="00DF33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Части 1</w:t>
        </w:r>
      </w:hyperlink>
      <w:r>
        <w:t xml:space="preserve">, </w:t>
      </w:r>
      <w:hyperlink r:id="rId17" w:history="1">
        <w:r>
          <w:rPr>
            <w:color w:val="0000FF"/>
          </w:rPr>
          <w:t>10 статьи 39</w:t>
        </w:r>
      </w:hyperlink>
      <w:r>
        <w:t xml:space="preserve"> Федеральный закон N 209-ФЗ.</w:t>
      </w: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ind w:firstLine="540"/>
        <w:jc w:val="both"/>
      </w:pPr>
      <w:r>
        <w:t>3. Документом внутрихозяйственного охотустройства является схема использования и охраны охотничьего угодья, определяющая мероприятия по сохранению охотничьих ресурсов и среды их обитания и созданию охотничьей инфраструктуры &lt;*&gt;.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Части 12</w:t>
        </w:r>
      </w:hyperlink>
      <w:r>
        <w:t xml:space="preserve">, </w:t>
      </w:r>
      <w:hyperlink r:id="rId19" w:history="1">
        <w:r>
          <w:rPr>
            <w:color w:val="0000FF"/>
          </w:rPr>
          <w:t>13 статьи 39</w:t>
        </w:r>
      </w:hyperlink>
      <w:r>
        <w:t xml:space="preserve"> Федерального закона N 209-ФЗ.</w:t>
      </w: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ind w:firstLine="540"/>
        <w:jc w:val="both"/>
      </w:pPr>
      <w:r>
        <w:t xml:space="preserve">4. Внутрихозяйственное охотустройство осуществляется на основе материалов натурных исследований, схем развития и </w:t>
      </w:r>
      <w:proofErr w:type="gramStart"/>
      <w:r>
        <w:t>размещения</w:t>
      </w:r>
      <w:proofErr w:type="gramEnd"/>
      <w:r>
        <w:t xml:space="preserve"> особо охраняемых природных территорий (для особо охраняемых природных территорий), картографических материалов, литературных источников, а также материалов, отражающих численность и состояние охотничьих ресурсов.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внутрихозяйственного охотустройства проводится комплексная качественная оценка указанных в </w:t>
      </w:r>
      <w:hyperlink r:id="rId20" w:history="1">
        <w:r>
          <w:rPr>
            <w:color w:val="0000FF"/>
          </w:rPr>
          <w:t>Приказе</w:t>
        </w:r>
      </w:hyperlink>
      <w:r>
        <w:t xml:space="preserve"> Министерства природных ресурсов и экологии Российской Федерации от 31 августа 2010 г. N 335 "Об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структуре" (зарегистрирован в Министерстве юстиции Российской Федерации 4 октября 2010 г. N</w:t>
      </w:r>
      <w:proofErr w:type="gramEnd"/>
      <w:r>
        <w:t xml:space="preserve"> 18614) элементов среды обитания, охотничьих ресурсов в границах охотничьего угодья с учетом биотических, абиотических и антропогенных факторов, влияющих на распространение и жизнедеятельность охотничьих ресурсов.</w:t>
      </w:r>
    </w:p>
    <w:p w:rsidR="00DF332E" w:rsidRDefault="00DF332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18.06.2012 N 160)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6. При осуществлении </w:t>
      </w:r>
      <w:proofErr w:type="gramStart"/>
      <w:r>
        <w:t>внутрихозяйственного</w:t>
      </w:r>
      <w:proofErr w:type="gramEnd"/>
      <w:r>
        <w:t xml:space="preserve"> охотустройства: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6.1. Разрабатывается: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6.1.1. картографический материал, содержащий графическое отображение и данные о площадях категорий и классов элементов среды обитания охотничьих ресурсов;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6.1.2. картографический материал (карта-схема) деления территории охотничьего угодья на участки, закрепляемые за работниками юридических лиц и индивидуальных предпринимателей, которые выполняют обязанности, связанные с осуществлением охоты и сохранением охотничьих ресурсов на основании трудового или гражданско-правового договора (егерские обходы), выделения зон охраны охотничьих ресурсов, зон нагонки и натаски собак охотничьих пород;</w:t>
      </w:r>
    </w:p>
    <w:p w:rsidR="00DF332E" w:rsidRDefault="00DF332E">
      <w:pPr>
        <w:pStyle w:val="ConsPlusNormal"/>
        <w:jc w:val="both"/>
      </w:pPr>
      <w:r>
        <w:t xml:space="preserve">(п. 6.1.2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6.1.3. картографический материал (карта-схема) размещения существующих и планируемых объектов охотничьей инфраструктуры,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11 июля 2017 г. N 1469-р (Собрание законодательства Российской Федерации, 2017, N 29, ст. 4423);</w:t>
      </w:r>
    </w:p>
    <w:p w:rsidR="00DF332E" w:rsidRDefault="00DF332E">
      <w:pPr>
        <w:pStyle w:val="ConsPlusNormal"/>
        <w:jc w:val="both"/>
      </w:pPr>
      <w:r>
        <w:t xml:space="preserve">(п. 6.1.3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lastRenderedPageBreak/>
        <w:t>6.2. Определяются: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6.2.1. перечень видов охотничьих ресурсов, обитающих на территории охотничьего угодья, в отношении которых планируется осуществлять бонитировку &lt;*&gt;;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&lt;*&gt; Перечень видов охотничьих ресурсов не может содержать больше видов охотничьих ресурсов, чем установлено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209-ФЗ, а также обитает на территории охотничьего угодья.</w:t>
      </w: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ind w:firstLine="540"/>
        <w:jc w:val="both"/>
      </w:pPr>
      <w:r>
        <w:t>6.2.2. максимальная и минимальная численности основных видов охотничьих ресурсов на территории охотничьего угодья;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6.2.3. расчет пропускной способности охотничьего угодья;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6.2.4. биотехнические мероприятия;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6.2.5. объемы допустимой добычи охотничьих ресурсов;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6.2.6. ветеринарно-профилактические и противоэпизоотические мероприятия по защите охотничьих ресурсов от болезней;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>6.2.7. мероприятия по созданию охотничьей инфраструктуры.</w:t>
      </w:r>
    </w:p>
    <w:p w:rsidR="00DF332E" w:rsidRDefault="00DF332E">
      <w:pPr>
        <w:pStyle w:val="ConsPlusNormal"/>
        <w:spacing w:before="220"/>
        <w:ind w:firstLine="540"/>
        <w:jc w:val="both"/>
      </w:pPr>
      <w:r>
        <w:t xml:space="preserve">7. При осуществлении </w:t>
      </w:r>
      <w:proofErr w:type="gramStart"/>
      <w:r>
        <w:t>внутрихозяйственного</w:t>
      </w:r>
      <w:proofErr w:type="gramEnd"/>
      <w:r>
        <w:t xml:space="preserve"> охотустройства рекомендуется использовать материалы аэросъемки и космической съемки поверхности Земли, имеющих давность не более 5 лет на момент разработки внутрихозяйственного охотустройства и отражающих реальное состояние экосистем.</w:t>
      </w: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ind w:firstLine="540"/>
        <w:jc w:val="both"/>
      </w:pPr>
    </w:p>
    <w:p w:rsidR="00DF332E" w:rsidRDefault="00DF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96D" w:rsidRDefault="00C9396D">
      <w:bookmarkStart w:id="1" w:name="_GoBack"/>
      <w:bookmarkEnd w:id="1"/>
    </w:p>
    <w:sectPr w:rsidR="00C9396D" w:rsidSect="0072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E"/>
    <w:rsid w:val="00C9396D"/>
    <w:rsid w:val="00D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87DD5C4CC42E85FDEC516585BF233A83335CBBD26D81A4D09A2550399F380DC653C772B166002B2F644B196A86C73E6055DCDB73EA24BhBm2D" TargetMode="External"/><Relationship Id="rId13" Type="http://schemas.openxmlformats.org/officeDocument/2006/relationships/hyperlink" Target="consultantplus://offline/ref=2E487DD5C4CC42E85FDEC516585BF233A83231CBB022D81A4D09A2550399F380DC653C772B166001B3F644B196A86C73E6055DCDB73EA24BhBm2D" TargetMode="External"/><Relationship Id="rId18" Type="http://schemas.openxmlformats.org/officeDocument/2006/relationships/hyperlink" Target="consultantplus://offline/ref=2E487DD5C4CC42E85FDEC516585BF233A93E31C0B525D81A4D09A2550399F380DC653C772B166402B1F644B196A86C73E6055DCDB73EA24BhBm2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487DD5C4CC42E85FDEC516585BF233AB3835CBB42BD81A4D09A2550399F380DC653C772B166001B3F644B196A86C73E6055DCDB73EA24BhBm2D" TargetMode="External"/><Relationship Id="rId7" Type="http://schemas.openxmlformats.org/officeDocument/2006/relationships/hyperlink" Target="consultantplus://offline/ref=2E487DD5C4CC42E85FDEC516585BF233A83231CBB022D81A4D09A2550399F380DC653C772B166001B3F644B196A86C73E6055DCDB73EA24BhBm2D" TargetMode="External"/><Relationship Id="rId12" Type="http://schemas.openxmlformats.org/officeDocument/2006/relationships/hyperlink" Target="consultantplus://offline/ref=2E487DD5C4CC42E85FDEC516585BF233AB3835CBB42BD81A4D09A2550399F380DC653C772B166001B3F644B196A86C73E6055DCDB73EA24BhBm2D" TargetMode="External"/><Relationship Id="rId17" Type="http://schemas.openxmlformats.org/officeDocument/2006/relationships/hyperlink" Target="consultantplus://offline/ref=2E487DD5C4CC42E85FDEC516585BF233A93E31C0B525D81A4D09A2550399F380DC653C772B166402B7F644B196A86C73E6055DCDB73EA24BhBm2D" TargetMode="External"/><Relationship Id="rId25" Type="http://schemas.openxmlformats.org/officeDocument/2006/relationships/hyperlink" Target="consultantplus://offline/ref=2E487DD5C4CC42E85FDEC516585BF233A93E31C0B525D81A4D09A2550399F380DC653C772B166007BDF644B196A86C73E6055DCDB73EA24BhBm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87DD5C4CC42E85FDEC516585BF233A93E31C0B525D81A4D09A2550399F380DC653C772B166403B6F644B196A86C73E6055DCDB73EA24BhBm2D" TargetMode="External"/><Relationship Id="rId20" Type="http://schemas.openxmlformats.org/officeDocument/2006/relationships/hyperlink" Target="consultantplus://offline/ref=2E487DD5C4CC42E85FDEC516585BF233A93B31CCB421D81A4D09A2550399F380CE65647B2A117E01B7E312E0D0hFm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87DD5C4CC42E85FDEC516585BF233AB3835CBB42BD81A4D09A2550399F380DC653C772B166001B3F644B196A86C73E6055DCDB73EA24BhBm2D" TargetMode="External"/><Relationship Id="rId11" Type="http://schemas.openxmlformats.org/officeDocument/2006/relationships/hyperlink" Target="consultantplus://offline/ref=2E487DD5C4CC42E85FDEC516585BF233A93C34C1B42BD81A4D09A2550399F380DC653C77281D3450F1A81DE1D5E36170FF195DCDhAm8D" TargetMode="External"/><Relationship Id="rId24" Type="http://schemas.openxmlformats.org/officeDocument/2006/relationships/hyperlink" Target="consultantplus://offline/ref=2E487DD5C4CC42E85FDEC516585BF233A83231CBB022D81A4D09A2550399F380DC653C772B166001BCF644B196A86C73E6055DCDB73EA24BhBm2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487DD5C4CC42E85FDEC516585BF233A93E31C0B525D81A4D09A2550399F380DC653C772B166402B3F644B196A86C73E6055DCDB73EA24BhBm2D" TargetMode="External"/><Relationship Id="rId23" Type="http://schemas.openxmlformats.org/officeDocument/2006/relationships/hyperlink" Target="consultantplus://offline/ref=2E487DD5C4CC42E85FDEC516585BF233A83A3FC0B126D81A4D09A2550399F380DC653C772B166001B3F644B196A86C73E6055DCDB73EA24BhBm2D" TargetMode="External"/><Relationship Id="rId10" Type="http://schemas.openxmlformats.org/officeDocument/2006/relationships/hyperlink" Target="consultantplus://offline/ref=2E487DD5C4CC42E85FDEC516585BF233A93E31C0B525D81A4D09A2550399F380DC653C772B166402B3F644B196A86C73E6055DCDB73EA24BhBm2D" TargetMode="External"/><Relationship Id="rId19" Type="http://schemas.openxmlformats.org/officeDocument/2006/relationships/hyperlink" Target="consultantplus://offline/ref=2E487DD5C4CC42E85FDEC516585BF233A93E31C0B525D81A4D09A2550399F380DC653C772B166402B0F644B196A86C73E6055DCDB73EA24BhBm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87DD5C4CC42E85FDEC516585BF233A93E31C0B525D81A4D09A2550399F380DC653C772B166303B0F644B196A86C73E6055DCDB73EA24BhBm2D" TargetMode="External"/><Relationship Id="rId14" Type="http://schemas.openxmlformats.org/officeDocument/2006/relationships/hyperlink" Target="consultantplus://offline/ref=2E487DD5C4CC42E85FDEC516585BF233A83335CBBD26D81A4D09A2550399F380DC653C772B166002B2F644B196A86C73E6055DCDB73EA24BhBm2D" TargetMode="External"/><Relationship Id="rId22" Type="http://schemas.openxmlformats.org/officeDocument/2006/relationships/hyperlink" Target="consultantplus://offline/ref=2E487DD5C4CC42E85FDEC516585BF233A83231CBB022D81A4D09A2550399F380DC653C772B166001B2F644B196A86C73E6055DCDB73EA24BhBm2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2021-02-17T03:38:00Z</dcterms:created>
  <dcterms:modified xsi:type="dcterms:W3CDTF">2021-02-17T03:38:00Z</dcterms:modified>
</cp:coreProperties>
</file>